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38" w:rsidRPr="00A94A38" w:rsidRDefault="00F045B3" w:rsidP="0080122F">
      <w:pPr>
        <w:tabs>
          <w:tab w:val="left" w:pos="5103"/>
        </w:tabs>
        <w:spacing w:after="0"/>
        <w:ind w:left="4956" w:hanging="4956"/>
        <w:jc w:val="both"/>
        <w:rPr>
          <w:lang w:val="fr-BE"/>
        </w:rPr>
      </w:pPr>
      <w:bookmarkStart w:id="0" w:name="_Hlk14696592"/>
      <w:bookmarkStart w:id="1" w:name="_Hlk14696593"/>
      <w:bookmarkStart w:id="2" w:name="_Hlk14696594"/>
      <w:bookmarkStart w:id="3" w:name="_Hlk14696595"/>
      <w:bookmarkStart w:id="4" w:name="_Hlk14696596"/>
      <w:bookmarkStart w:id="5" w:name="_Hlk14696597"/>
      <w:bookmarkStart w:id="6" w:name="_GoBack"/>
      <w:bookmarkEnd w:id="6"/>
      <w:r>
        <w:rPr>
          <w:b/>
          <w:lang w:val="fr-BE"/>
        </w:rPr>
        <w:t>Iriscar</w:t>
      </w:r>
      <w:bookmarkEnd w:id="0"/>
      <w:bookmarkEnd w:id="1"/>
      <w:bookmarkEnd w:id="2"/>
      <w:bookmarkEnd w:id="3"/>
      <w:bookmarkEnd w:id="4"/>
      <w:bookmarkEnd w:id="5"/>
      <w:r>
        <w:rPr>
          <w:b/>
          <w:lang w:val="fr-BE"/>
        </w:rPr>
        <w:t>e</w:t>
      </w:r>
      <w:r w:rsidR="00A94A38" w:rsidRPr="00A94A38">
        <w:rPr>
          <w:lang w:val="fr-BE"/>
        </w:rPr>
        <w:tab/>
      </w:r>
      <w:r w:rsidRPr="00D53126">
        <w:rPr>
          <w:b/>
          <w:szCs w:val="22"/>
          <w:lang w:val="fr-BE"/>
        </w:rPr>
        <w:t xml:space="preserve">A l’attention des maisons de repos et maisons de repos et de soins agréées et subventionnées par la </w:t>
      </w:r>
      <w:proofErr w:type="spellStart"/>
      <w:r w:rsidRPr="00D53126">
        <w:rPr>
          <w:b/>
          <w:szCs w:val="22"/>
          <w:lang w:val="fr-BE"/>
        </w:rPr>
        <w:t>Cocom</w:t>
      </w:r>
      <w:proofErr w:type="spellEnd"/>
    </w:p>
    <w:p w:rsidR="00A94A38" w:rsidRDefault="00A94A38" w:rsidP="0080122F">
      <w:pPr>
        <w:tabs>
          <w:tab w:val="left" w:pos="283"/>
          <w:tab w:val="left" w:pos="5103"/>
          <w:tab w:val="left" w:pos="6237"/>
        </w:tabs>
        <w:jc w:val="both"/>
        <w:rPr>
          <w:rFonts w:cs="Calibri"/>
          <w:sz w:val="20"/>
          <w:lang w:val="fr-BE"/>
        </w:rPr>
      </w:pPr>
    </w:p>
    <w:p w:rsidR="00D439AD" w:rsidRDefault="00D439AD" w:rsidP="0080122F">
      <w:pPr>
        <w:tabs>
          <w:tab w:val="left" w:pos="283"/>
          <w:tab w:val="left" w:pos="5103"/>
          <w:tab w:val="left" w:pos="6237"/>
        </w:tabs>
        <w:jc w:val="both"/>
        <w:rPr>
          <w:szCs w:val="22"/>
          <w:lang w:val="fr-BE"/>
        </w:rPr>
      </w:pPr>
      <w:r w:rsidRPr="00D439AD">
        <w:rPr>
          <w:szCs w:val="22"/>
          <w:lang w:val="fr-BE"/>
        </w:rPr>
        <w:t>Département Politique des établissements de soins</w:t>
      </w:r>
    </w:p>
    <w:p w:rsidR="00A94A38" w:rsidRPr="00A94A38" w:rsidRDefault="00A94A38" w:rsidP="0080122F">
      <w:pPr>
        <w:jc w:val="right"/>
        <w:rPr>
          <w:lang w:val="fr-BE"/>
        </w:rPr>
      </w:pPr>
      <w:r>
        <w:rPr>
          <w:lang w:val="fr-BE"/>
        </w:rPr>
        <w:t>Brux</w:t>
      </w:r>
      <w:r w:rsidRPr="00A94A38">
        <w:rPr>
          <w:lang w:val="fr-BE"/>
        </w:rPr>
        <w:t>el</w:t>
      </w:r>
      <w:r>
        <w:rPr>
          <w:lang w:val="fr-BE"/>
        </w:rPr>
        <w:t>les</w:t>
      </w:r>
      <w:r w:rsidRPr="00A94A38">
        <w:rPr>
          <w:lang w:val="fr-BE"/>
        </w:rPr>
        <w:t xml:space="preserve">, </w:t>
      </w:r>
      <w:r w:rsidR="00307B4B" w:rsidRPr="00FE5B4A">
        <w:rPr>
          <w:lang w:val="fr-BE"/>
        </w:rPr>
        <w:t>7</w:t>
      </w:r>
      <w:r w:rsidR="00307B4B">
        <w:rPr>
          <w:lang w:val="fr-BE"/>
        </w:rPr>
        <w:t xml:space="preserve"> </w:t>
      </w:r>
      <w:r w:rsidR="0003164C">
        <w:rPr>
          <w:lang w:val="fr-BE"/>
        </w:rPr>
        <w:t xml:space="preserve">juin </w:t>
      </w:r>
      <w:r w:rsidR="008C1494">
        <w:rPr>
          <w:lang w:val="fr-BE"/>
        </w:rPr>
        <w:t>2021</w:t>
      </w:r>
    </w:p>
    <w:p w:rsidR="00BC26C8" w:rsidRPr="00756FAC" w:rsidRDefault="00BC26C8" w:rsidP="0080122F">
      <w:pPr>
        <w:jc w:val="both"/>
        <w:rPr>
          <w:lang w:val="fr-BE"/>
        </w:rPr>
      </w:pPr>
    </w:p>
    <w:p w:rsidR="006E0BC7" w:rsidRPr="00756FAC" w:rsidRDefault="006E0BC7" w:rsidP="0080122F">
      <w:pPr>
        <w:jc w:val="both"/>
        <w:rPr>
          <w:lang w:val="fr-BE"/>
        </w:rPr>
        <w:sectPr w:rsidR="006E0BC7" w:rsidRPr="00756FAC" w:rsidSect="000567C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268" w:right="1418" w:bottom="1418" w:left="1418" w:header="709" w:footer="709" w:gutter="0"/>
          <w:cols w:space="708"/>
          <w:titlePg/>
          <w:docGrid w:linePitch="360"/>
        </w:sectPr>
      </w:pPr>
    </w:p>
    <w:p w:rsidR="00BC26C8" w:rsidRPr="00F045B3" w:rsidRDefault="002A0A3A" w:rsidP="0080122F">
      <w:pPr>
        <w:pStyle w:val="Kop1"/>
        <w:jc w:val="both"/>
        <w:rPr>
          <w:lang w:val="fr-BE"/>
        </w:rPr>
      </w:pPr>
      <w:r>
        <w:rPr>
          <w:lang w:val="fr-BE"/>
        </w:rPr>
        <w:t xml:space="preserve">Objet: Mesures </w:t>
      </w:r>
      <w:r w:rsidR="00F3146D">
        <w:rPr>
          <w:lang w:val="fr-BE"/>
        </w:rPr>
        <w:t xml:space="preserve">en </w:t>
      </w:r>
      <w:r>
        <w:rPr>
          <w:lang w:val="fr-BE"/>
        </w:rPr>
        <w:t xml:space="preserve">réaction </w:t>
      </w:r>
      <w:r w:rsidR="00BC534F">
        <w:rPr>
          <w:lang w:val="fr-BE"/>
        </w:rPr>
        <w:t xml:space="preserve">face à </w:t>
      </w:r>
      <w:r>
        <w:rPr>
          <w:lang w:val="fr-BE"/>
        </w:rPr>
        <w:t>l'épidémie COVID-19</w:t>
      </w:r>
    </w:p>
    <w:p w:rsidR="00F045B3" w:rsidRDefault="00F045B3" w:rsidP="00A72ED0">
      <w:pPr>
        <w:pStyle w:val="Geenafstand"/>
        <w:jc w:val="both"/>
      </w:pPr>
      <w:r>
        <w:t>Madame, Monsieur,</w:t>
      </w:r>
    </w:p>
    <w:p w:rsidR="00BF1B15" w:rsidRDefault="00BF1B15" w:rsidP="00A72ED0">
      <w:pPr>
        <w:pStyle w:val="Geenafstand"/>
        <w:jc w:val="both"/>
      </w:pPr>
    </w:p>
    <w:p w:rsidR="002A0A3A" w:rsidRPr="00E0783F" w:rsidRDefault="002A0A3A" w:rsidP="00356A38">
      <w:pPr>
        <w:pStyle w:val="Geenafstand"/>
        <w:jc w:val="both"/>
      </w:pPr>
      <w:r w:rsidRPr="00AC6818">
        <w:t xml:space="preserve">Suite </w:t>
      </w:r>
      <w:r w:rsidR="00C86F8F" w:rsidRPr="00AC6818">
        <w:t>au</w:t>
      </w:r>
      <w:r w:rsidR="00F522E1" w:rsidRPr="00E0783F">
        <w:t>x</w:t>
      </w:r>
      <w:r w:rsidR="00C86F8F" w:rsidRPr="00E0783F">
        <w:t xml:space="preserve"> </w:t>
      </w:r>
      <w:r w:rsidR="001B0E27" w:rsidRPr="00E0783F">
        <w:t xml:space="preserve">mesures annoncées lors du </w:t>
      </w:r>
      <w:r w:rsidR="00E04534" w:rsidRPr="00E0783F">
        <w:t>Comité de concertation</w:t>
      </w:r>
      <w:r w:rsidR="00C86F8F" w:rsidRPr="00E0783F">
        <w:t xml:space="preserve"> </w:t>
      </w:r>
      <w:r w:rsidR="00AE14D7" w:rsidRPr="00E0783F">
        <w:t xml:space="preserve">du </w:t>
      </w:r>
      <w:r w:rsidR="00AC6818" w:rsidRPr="00E0783F">
        <w:t xml:space="preserve">9 mai </w:t>
      </w:r>
      <w:r w:rsidR="00C24FC2" w:rsidRPr="00E0783F">
        <w:t>2021</w:t>
      </w:r>
      <w:r w:rsidR="00F522E1" w:rsidRPr="00AC6818">
        <w:t xml:space="preserve"> </w:t>
      </w:r>
      <w:r w:rsidR="000F36B5" w:rsidRPr="00AC6818">
        <w:t>et à l'</w:t>
      </w:r>
      <w:r w:rsidR="0073331C" w:rsidRPr="00E0783F">
        <w:t xml:space="preserve">excellente </w:t>
      </w:r>
      <w:r w:rsidR="000F36B5" w:rsidRPr="00E0783F">
        <w:t xml:space="preserve">évolution épidémiologique </w:t>
      </w:r>
      <w:r w:rsidR="00DC01BC" w:rsidRPr="00E0783F">
        <w:t>au sein de nos institutions</w:t>
      </w:r>
      <w:r w:rsidR="000F36B5" w:rsidRPr="00E0783F">
        <w:t xml:space="preserve">, </w:t>
      </w:r>
      <w:r w:rsidR="001B0E27" w:rsidRPr="00E0783F">
        <w:t>nous</w:t>
      </w:r>
      <w:r w:rsidR="00AE14D7" w:rsidRPr="00E0783F">
        <w:t xml:space="preserve"> </w:t>
      </w:r>
      <w:r w:rsidR="008C3322" w:rsidRPr="00E0783F">
        <w:t xml:space="preserve">avons le plaisir de </w:t>
      </w:r>
      <w:r w:rsidRPr="00E0783F">
        <w:t xml:space="preserve">vous </w:t>
      </w:r>
      <w:r w:rsidR="00DE5347" w:rsidRPr="00E0783F">
        <w:t>communiqu</w:t>
      </w:r>
      <w:r w:rsidR="008C3322" w:rsidRPr="00E0783F">
        <w:t>er</w:t>
      </w:r>
      <w:r w:rsidR="00DE5347" w:rsidRPr="00E0783F">
        <w:t xml:space="preserve"> </w:t>
      </w:r>
      <w:r w:rsidRPr="00E0783F">
        <w:t>en annexe</w:t>
      </w:r>
      <w:r w:rsidR="00356A38" w:rsidRPr="00E0783F">
        <w:t xml:space="preserve"> </w:t>
      </w:r>
      <w:r w:rsidRPr="00E0783F">
        <w:t>la circulaire adaptée concernant la prévention / réaction face au COVID-19</w:t>
      </w:r>
      <w:r w:rsidR="007A6F78" w:rsidRPr="00E0783F">
        <w:t xml:space="preserve"> et la circulaire </w:t>
      </w:r>
      <w:r w:rsidR="002866D0" w:rsidRPr="00E0783F">
        <w:rPr>
          <w:rFonts w:cstheme="minorHAnsi"/>
        </w:rPr>
        <w:t xml:space="preserve">concernant les visites et activités </w:t>
      </w:r>
      <w:r w:rsidR="00F64D1A" w:rsidRPr="00E0783F">
        <w:rPr>
          <w:rFonts w:cstheme="minorHAnsi"/>
        </w:rPr>
        <w:t>après</w:t>
      </w:r>
      <w:r w:rsidR="002866D0" w:rsidRPr="00E0783F">
        <w:rPr>
          <w:rFonts w:cstheme="minorHAnsi"/>
        </w:rPr>
        <w:t xml:space="preserve">  la réalisation de la campagne de vaccination</w:t>
      </w:r>
      <w:r w:rsidR="002866D0" w:rsidRPr="00E0783F">
        <w:t>.</w:t>
      </w:r>
    </w:p>
    <w:p w:rsidR="00D86DA0" w:rsidRPr="00E0783F" w:rsidRDefault="00D86DA0" w:rsidP="00C07A4E">
      <w:pPr>
        <w:pStyle w:val="Geenafstand"/>
        <w:jc w:val="both"/>
      </w:pPr>
    </w:p>
    <w:p w:rsidR="00DC01BC" w:rsidRPr="00E0783F" w:rsidRDefault="00DC01BC" w:rsidP="00C07A4E">
      <w:pPr>
        <w:pStyle w:val="Geenafstand"/>
        <w:jc w:val="both"/>
      </w:pPr>
      <w:bookmarkStart w:id="7" w:name="_Hlk73451563"/>
      <w:r w:rsidRPr="00E0783F">
        <w:t>Ce</w:t>
      </w:r>
      <w:r w:rsidR="008C3322" w:rsidRPr="00E0783F">
        <w:t xml:space="preserve"> nouvel </w:t>
      </w:r>
      <w:r w:rsidRPr="00E0783F">
        <w:t>assouplissement est principalement basé sur l</w:t>
      </w:r>
      <w:r w:rsidR="0073331C" w:rsidRPr="00E0783F">
        <w:t xml:space="preserve">es données qui confirment une chute </w:t>
      </w:r>
      <w:r w:rsidRPr="00E0783F">
        <w:t>du taux d'hospitalisation des résidents de MRS</w:t>
      </w:r>
      <w:r w:rsidR="0073331C" w:rsidRPr="00E0783F">
        <w:t xml:space="preserve"> (</w:t>
      </w:r>
      <w:r w:rsidRPr="00E0783F">
        <w:t xml:space="preserve">au maximum </w:t>
      </w:r>
      <w:r w:rsidR="0073331C" w:rsidRPr="00E0783F">
        <w:t>4</w:t>
      </w:r>
      <w:r w:rsidR="008C3322" w:rsidRPr="00E0783F">
        <w:t xml:space="preserve"> </w:t>
      </w:r>
      <w:r w:rsidRPr="00AC6818">
        <w:t xml:space="preserve">par semaine durant ces </w:t>
      </w:r>
      <w:r w:rsidR="0073331C" w:rsidRPr="00E0783F">
        <w:t xml:space="preserve">2 derniers mois). </w:t>
      </w:r>
      <w:r w:rsidR="00435B4A">
        <w:t>Par ailleurs, le nombre de clusters déclarés reste bas, moins de 1 par semaine actuellement</w:t>
      </w:r>
      <w:r w:rsidRPr="00E0783F">
        <w:t>.</w:t>
      </w:r>
    </w:p>
    <w:bookmarkEnd w:id="7"/>
    <w:p w:rsidR="00DC01BC" w:rsidRPr="00E0783F" w:rsidRDefault="00DC01BC" w:rsidP="00C07A4E">
      <w:pPr>
        <w:pStyle w:val="Geenafstand"/>
        <w:jc w:val="both"/>
      </w:pPr>
    </w:p>
    <w:p w:rsidR="005B75DE" w:rsidRPr="004A44B7" w:rsidRDefault="00C07A4E" w:rsidP="00356A38">
      <w:pPr>
        <w:pStyle w:val="Geenafstand"/>
        <w:jc w:val="both"/>
        <w:rPr>
          <w:b/>
        </w:rPr>
      </w:pPr>
      <w:r w:rsidRPr="00A441A3">
        <w:rPr>
          <w:b/>
        </w:rPr>
        <w:t>La situation sanitaire actuelle</w:t>
      </w:r>
      <w:r w:rsidRPr="004A44B7">
        <w:rPr>
          <w:b/>
        </w:rPr>
        <w:t xml:space="preserve"> nous permet </w:t>
      </w:r>
      <w:r w:rsidR="00DC01BC" w:rsidRPr="004A44B7">
        <w:rPr>
          <w:b/>
        </w:rPr>
        <w:t xml:space="preserve">dès lors </w:t>
      </w:r>
      <w:r w:rsidRPr="004A44B7">
        <w:rPr>
          <w:b/>
        </w:rPr>
        <w:t xml:space="preserve">d'adopter les mesures </w:t>
      </w:r>
      <w:r w:rsidR="00E526DB" w:rsidRPr="004A44B7">
        <w:rPr>
          <w:b/>
        </w:rPr>
        <w:t>résumées ci-dessous</w:t>
      </w:r>
      <w:r w:rsidRPr="004A44B7">
        <w:rPr>
          <w:b/>
        </w:rPr>
        <w:t xml:space="preserve"> </w:t>
      </w:r>
      <w:r w:rsidRPr="00A441A3">
        <w:rPr>
          <w:b/>
        </w:rPr>
        <w:t xml:space="preserve">à partir de ce </w:t>
      </w:r>
      <w:r w:rsidR="002866D0" w:rsidRPr="00A441A3">
        <w:rPr>
          <w:b/>
        </w:rPr>
        <w:t xml:space="preserve">mercredi 09 </w:t>
      </w:r>
      <w:r w:rsidR="00FC7D83" w:rsidRPr="00A441A3">
        <w:rPr>
          <w:b/>
        </w:rPr>
        <w:t>juin 2021</w:t>
      </w:r>
      <w:r w:rsidR="005B136F" w:rsidRPr="00A441A3">
        <w:rPr>
          <w:b/>
        </w:rPr>
        <w:t xml:space="preserve"> si</w:t>
      </w:r>
      <w:r w:rsidR="005B136F" w:rsidRPr="004A44B7">
        <w:rPr>
          <w:b/>
        </w:rPr>
        <w:t xml:space="preserve"> le taux de vaccination des résidents atteint 90% (ou suivant l'avis du MCC en cas de taux inférieur</w:t>
      </w:r>
      <w:r w:rsidR="00CE2A0B" w:rsidRPr="004A44B7">
        <w:rPr>
          <w:b/>
        </w:rPr>
        <w:t xml:space="preserve"> à celui-ci).</w:t>
      </w:r>
      <w:r w:rsidR="0027032A" w:rsidRPr="004A44B7">
        <w:rPr>
          <w:b/>
        </w:rPr>
        <w:t xml:space="preserve"> I</w:t>
      </w:r>
      <w:r w:rsidR="00300DE7" w:rsidRPr="004A44B7">
        <w:rPr>
          <w:b/>
        </w:rPr>
        <w:t>l</w:t>
      </w:r>
      <w:r w:rsidR="0027032A" w:rsidRPr="004A44B7">
        <w:rPr>
          <w:b/>
        </w:rPr>
        <w:t xml:space="preserve"> s'agit entre autre de:</w:t>
      </w:r>
    </w:p>
    <w:p w:rsidR="0003164C" w:rsidRDefault="0003164C" w:rsidP="0003164C">
      <w:pPr>
        <w:pStyle w:val="Geenafstand"/>
        <w:jc w:val="both"/>
      </w:pPr>
    </w:p>
    <w:p w:rsidR="0003164C" w:rsidRDefault="0003164C" w:rsidP="00FD3A58">
      <w:pPr>
        <w:pStyle w:val="Lijstalinea"/>
        <w:numPr>
          <w:ilvl w:val="0"/>
          <w:numId w:val="22"/>
        </w:numPr>
        <w:ind w:left="986" w:hanging="357"/>
        <w:rPr>
          <w:rFonts w:cstheme="minorHAnsi"/>
          <w:b/>
          <w:szCs w:val="24"/>
          <w:u w:val="single"/>
          <w:lang w:val="fr-BE"/>
        </w:rPr>
      </w:pPr>
      <w:r>
        <w:rPr>
          <w:rFonts w:cstheme="minorHAnsi"/>
          <w:b/>
          <w:szCs w:val="24"/>
          <w:u w:val="single"/>
          <w:lang w:val="fr-BE"/>
        </w:rPr>
        <w:t xml:space="preserve">Sorties </w:t>
      </w:r>
      <w:r w:rsidR="00045B57">
        <w:rPr>
          <w:rFonts w:cstheme="minorHAnsi"/>
          <w:b/>
          <w:szCs w:val="24"/>
          <w:u w:val="single"/>
          <w:lang w:val="fr-BE"/>
        </w:rPr>
        <w:t>de plus de 2h</w:t>
      </w:r>
    </w:p>
    <w:p w:rsidR="0003164C" w:rsidRDefault="00B81B89" w:rsidP="00FD3A58">
      <w:pPr>
        <w:pStyle w:val="Geenafstand"/>
        <w:spacing w:after="160"/>
        <w:ind w:left="630"/>
        <w:jc w:val="both"/>
      </w:pPr>
      <w:r>
        <w:t>Les sorties à l’extérieur</w:t>
      </w:r>
      <w:r w:rsidR="00045B57">
        <w:t xml:space="preserve"> de plus de 2h</w:t>
      </w:r>
      <w:r>
        <w:t xml:space="preserve">, y compris </w:t>
      </w:r>
      <w:r w:rsidR="00074F8B">
        <w:t xml:space="preserve">cette fois-ci </w:t>
      </w:r>
      <w:r>
        <w:t xml:space="preserve">avec </w:t>
      </w:r>
      <w:r w:rsidR="002866D0">
        <w:t>nuitées</w:t>
      </w:r>
      <w:r w:rsidR="00045B57">
        <w:t xml:space="preserve">, </w:t>
      </w:r>
      <w:r w:rsidR="002866D0">
        <w:t>sont  permises</w:t>
      </w:r>
      <w:r w:rsidR="0003164C">
        <w:t xml:space="preserve"> </w:t>
      </w:r>
      <w:r w:rsidR="00263B4A">
        <w:t xml:space="preserve">en </w:t>
      </w:r>
      <w:r w:rsidR="0003164C">
        <w:t>respectant les règles applicables au niveau fédéral.</w:t>
      </w:r>
    </w:p>
    <w:p w:rsidR="0003164C" w:rsidRPr="002A03DC" w:rsidRDefault="0003164C" w:rsidP="00FD3A58">
      <w:pPr>
        <w:pStyle w:val="Lijstalinea"/>
        <w:numPr>
          <w:ilvl w:val="0"/>
          <w:numId w:val="22"/>
        </w:numPr>
        <w:ind w:left="986" w:hanging="357"/>
        <w:rPr>
          <w:rFonts w:cstheme="minorHAnsi"/>
          <w:b/>
          <w:szCs w:val="24"/>
          <w:u w:val="single"/>
          <w:lang w:val="fr-BE"/>
        </w:rPr>
      </w:pPr>
      <w:r w:rsidRPr="002A03DC">
        <w:rPr>
          <w:rFonts w:cstheme="minorHAnsi"/>
          <w:b/>
          <w:szCs w:val="24"/>
          <w:u w:val="single"/>
          <w:lang w:val="fr-BE"/>
        </w:rPr>
        <w:t>Possibilité</w:t>
      </w:r>
      <w:r w:rsidR="00537A8E">
        <w:rPr>
          <w:rFonts w:cstheme="minorHAnsi"/>
          <w:b/>
          <w:szCs w:val="24"/>
          <w:u w:val="single"/>
          <w:lang w:val="fr-BE"/>
        </w:rPr>
        <w:t xml:space="preserve"> de consommation à la cafétéria</w:t>
      </w:r>
    </w:p>
    <w:p w:rsidR="0003164C" w:rsidRPr="00B55F12" w:rsidRDefault="0003164C" w:rsidP="00FD3A58">
      <w:pPr>
        <w:spacing w:after="160" w:line="252" w:lineRule="auto"/>
        <w:ind w:left="630"/>
        <w:contextualSpacing/>
        <w:jc w:val="both"/>
        <w:rPr>
          <w:lang w:val="fr-BE"/>
        </w:rPr>
      </w:pPr>
      <w:r w:rsidRPr="004F4C4D">
        <w:rPr>
          <w:lang w:val="fr-BE"/>
        </w:rPr>
        <w:t xml:space="preserve">Suite à la réouverture de l'Horeca, des règles similaires </w:t>
      </w:r>
      <w:r w:rsidR="0073331C" w:rsidRPr="004F4C4D">
        <w:rPr>
          <w:lang w:val="fr-BE"/>
        </w:rPr>
        <w:t xml:space="preserve">à celles du fédéral s'appliquent </w:t>
      </w:r>
      <w:r w:rsidRPr="004F4C4D">
        <w:rPr>
          <w:lang w:val="fr-BE"/>
        </w:rPr>
        <w:t xml:space="preserve">pour la cafétéria d'une institution. Le nombre de visiteurs qui partagent une consommation </w:t>
      </w:r>
      <w:r w:rsidR="002866D0" w:rsidRPr="004F4C4D">
        <w:rPr>
          <w:lang w:val="fr-BE"/>
        </w:rPr>
        <w:t xml:space="preserve">reste cependant limité à la bulle des visiteurs dans les limites autorisées par le </w:t>
      </w:r>
      <w:proofErr w:type="spellStart"/>
      <w:r w:rsidR="002866D0" w:rsidRPr="004F4C4D">
        <w:rPr>
          <w:lang w:val="fr-BE"/>
        </w:rPr>
        <w:t>CoDeCo</w:t>
      </w:r>
      <w:proofErr w:type="spellEnd"/>
      <w:r w:rsidR="002866D0" w:rsidRPr="004F4C4D">
        <w:rPr>
          <w:lang w:val="fr-BE"/>
        </w:rPr>
        <w:t>. I</w:t>
      </w:r>
      <w:r w:rsidRPr="004F4C4D">
        <w:rPr>
          <w:lang w:val="fr-BE"/>
        </w:rPr>
        <w:t xml:space="preserve">l </w:t>
      </w:r>
      <w:r w:rsidR="002866D0" w:rsidRPr="004F4C4D">
        <w:rPr>
          <w:lang w:val="fr-BE"/>
        </w:rPr>
        <w:t>reste</w:t>
      </w:r>
      <w:r w:rsidRPr="004F4C4D">
        <w:rPr>
          <w:lang w:val="fr-BE"/>
        </w:rPr>
        <w:t xml:space="preserve"> vivement recommandé que cette consommation ait lieu à l'extérieur</w:t>
      </w:r>
      <w:r w:rsidR="0073331C" w:rsidRPr="004F4C4D">
        <w:rPr>
          <w:lang w:val="fr-BE"/>
        </w:rPr>
        <w:t xml:space="preserve"> </w:t>
      </w:r>
      <w:r w:rsidR="00E526DB" w:rsidRPr="004F4C4D">
        <w:rPr>
          <w:lang w:val="fr-BE"/>
        </w:rPr>
        <w:t>ou à défaut dans un local bien ventilé</w:t>
      </w:r>
      <w:r w:rsidRPr="00B55F12">
        <w:rPr>
          <w:lang w:val="fr-BE"/>
        </w:rPr>
        <w:t>.</w:t>
      </w:r>
    </w:p>
    <w:p w:rsidR="0003164C" w:rsidRDefault="0003164C" w:rsidP="00FD3A58">
      <w:pPr>
        <w:pStyle w:val="Lijstalinea"/>
        <w:numPr>
          <w:ilvl w:val="0"/>
          <w:numId w:val="22"/>
        </w:numPr>
        <w:ind w:left="986" w:hanging="357"/>
        <w:rPr>
          <w:rFonts w:cstheme="minorHAnsi"/>
          <w:b/>
          <w:szCs w:val="24"/>
          <w:u w:val="single"/>
          <w:lang w:val="fr-BE"/>
        </w:rPr>
      </w:pPr>
      <w:r>
        <w:rPr>
          <w:rFonts w:cstheme="minorHAnsi"/>
          <w:b/>
          <w:szCs w:val="24"/>
          <w:u w:val="single"/>
          <w:lang w:val="fr-BE"/>
        </w:rPr>
        <w:t xml:space="preserve">Les personnes vaccinées ne sont </w:t>
      </w:r>
      <w:r w:rsidR="00024E56">
        <w:rPr>
          <w:rFonts w:cstheme="minorHAnsi"/>
          <w:b/>
          <w:szCs w:val="24"/>
          <w:u w:val="single"/>
          <w:lang w:val="fr-BE"/>
        </w:rPr>
        <w:t xml:space="preserve">quasiment </w:t>
      </w:r>
      <w:r>
        <w:rPr>
          <w:rFonts w:cstheme="minorHAnsi"/>
          <w:b/>
          <w:szCs w:val="24"/>
          <w:u w:val="single"/>
          <w:lang w:val="fr-BE"/>
        </w:rPr>
        <w:t>plus mises en quarantaine</w:t>
      </w:r>
      <w:r w:rsidR="00045B57">
        <w:rPr>
          <w:rFonts w:cstheme="minorHAnsi"/>
          <w:b/>
          <w:szCs w:val="24"/>
          <w:u w:val="single"/>
          <w:lang w:val="fr-BE"/>
        </w:rPr>
        <w:t xml:space="preserve"> au sein de l'institution</w:t>
      </w:r>
      <w:r>
        <w:rPr>
          <w:rFonts w:cstheme="minorHAnsi"/>
          <w:b/>
          <w:szCs w:val="24"/>
          <w:u w:val="single"/>
          <w:lang w:val="fr-BE"/>
        </w:rPr>
        <w:t xml:space="preserve"> après un contact à haut risque</w:t>
      </w:r>
      <w:r w:rsidR="00560E38">
        <w:rPr>
          <w:rFonts w:cstheme="minorHAnsi"/>
          <w:b/>
          <w:szCs w:val="24"/>
          <w:u w:val="single"/>
          <w:lang w:val="fr-BE"/>
        </w:rPr>
        <w:t>, ou leur durée sont réduites au maximum</w:t>
      </w:r>
    </w:p>
    <w:p w:rsidR="00F31951" w:rsidRPr="00C26B4D" w:rsidRDefault="00045B57" w:rsidP="00FD3A58">
      <w:pPr>
        <w:spacing w:after="160" w:line="252" w:lineRule="auto"/>
        <w:ind w:left="630"/>
        <w:contextualSpacing/>
        <w:jc w:val="both"/>
        <w:rPr>
          <w:lang w:val="fr-BE"/>
        </w:rPr>
      </w:pPr>
      <w:r w:rsidRPr="00B81B89">
        <w:rPr>
          <w:lang w:val="fr-BE"/>
        </w:rPr>
        <w:t xml:space="preserve">Au sein des institutions protégées et seulement en cas de vaccination des résidents </w:t>
      </w:r>
      <w:r w:rsidR="00074F8B">
        <w:rPr>
          <w:rFonts w:cs="Calibri"/>
          <w:lang w:val="fr-BE"/>
        </w:rPr>
        <w:t>≥</w:t>
      </w:r>
      <w:r w:rsidRPr="00B81B89">
        <w:rPr>
          <w:lang w:val="fr-BE"/>
        </w:rPr>
        <w:t xml:space="preserve"> à 90%, le MCC ou le médecin référent peut décider, malgré l’apparition d’un cas suspect, de la </w:t>
      </w:r>
      <w:r w:rsidRPr="00C26B4D">
        <w:rPr>
          <w:lang w:val="fr-BE"/>
        </w:rPr>
        <w:t xml:space="preserve">non-opportunité </w:t>
      </w:r>
      <w:r w:rsidR="00874E4D">
        <w:rPr>
          <w:lang w:val="fr-BE"/>
        </w:rPr>
        <w:t>de poursuivre la</w:t>
      </w:r>
      <w:r w:rsidRPr="00C26B4D">
        <w:rPr>
          <w:lang w:val="fr-BE"/>
        </w:rPr>
        <w:t xml:space="preserve"> mise en quarantain</w:t>
      </w:r>
      <w:r>
        <w:rPr>
          <w:lang w:val="fr-BE"/>
        </w:rPr>
        <w:t xml:space="preserve">e </w:t>
      </w:r>
      <w:r w:rsidR="00F31951" w:rsidRPr="00C26B4D">
        <w:rPr>
          <w:lang w:val="fr-BE"/>
        </w:rPr>
        <w:t xml:space="preserve">au sein de l'institution après un contact à haut risque si le contact à haut risque est </w:t>
      </w:r>
      <w:r w:rsidR="00F31951" w:rsidRPr="00C26B4D">
        <w:rPr>
          <w:u w:val="single"/>
          <w:lang w:val="fr-BE"/>
        </w:rPr>
        <w:t>vacciné</w:t>
      </w:r>
      <w:r w:rsidR="00F31951" w:rsidRPr="00C26B4D">
        <w:rPr>
          <w:lang w:val="fr-BE"/>
        </w:rPr>
        <w:t xml:space="preserve">, </w:t>
      </w:r>
      <w:r w:rsidR="00F31951" w:rsidRPr="00C26B4D">
        <w:rPr>
          <w:u w:val="single"/>
          <w:lang w:val="fr-BE"/>
        </w:rPr>
        <w:t>asymptomatique</w:t>
      </w:r>
      <w:r w:rsidR="00F31951" w:rsidRPr="00C26B4D">
        <w:rPr>
          <w:lang w:val="fr-BE"/>
        </w:rPr>
        <w:t xml:space="preserve"> et a un résultat de </w:t>
      </w:r>
      <w:r w:rsidR="00F31951" w:rsidRPr="00C26B4D">
        <w:rPr>
          <w:u w:val="single"/>
          <w:lang w:val="fr-BE"/>
        </w:rPr>
        <w:t>test PCR négatif</w:t>
      </w:r>
      <w:r w:rsidR="00537A8E">
        <w:rPr>
          <w:u w:val="single"/>
          <w:lang w:val="fr-BE"/>
        </w:rPr>
        <w:t>.</w:t>
      </w:r>
    </w:p>
    <w:p w:rsidR="006901B1" w:rsidRDefault="006901B1">
      <w:pPr>
        <w:spacing w:after="160" w:line="259" w:lineRule="auto"/>
        <w:rPr>
          <w:rFonts w:cstheme="minorHAnsi"/>
          <w:b/>
          <w:szCs w:val="24"/>
          <w:u w:val="single"/>
          <w:lang w:val="fr-BE"/>
        </w:rPr>
      </w:pPr>
      <w:r>
        <w:rPr>
          <w:rFonts w:cstheme="minorHAnsi"/>
          <w:b/>
          <w:szCs w:val="24"/>
          <w:u w:val="single"/>
          <w:lang w:val="fr-BE"/>
        </w:rPr>
        <w:br w:type="page"/>
      </w:r>
    </w:p>
    <w:p w:rsidR="0003164C" w:rsidRDefault="00CB086C" w:rsidP="00FD3A58">
      <w:pPr>
        <w:pStyle w:val="Lijstalinea"/>
        <w:numPr>
          <w:ilvl w:val="0"/>
          <w:numId w:val="22"/>
        </w:numPr>
        <w:ind w:left="986" w:hanging="357"/>
        <w:rPr>
          <w:rFonts w:cstheme="minorHAnsi"/>
          <w:b/>
          <w:szCs w:val="24"/>
          <w:u w:val="single"/>
          <w:lang w:val="fr-BE"/>
        </w:rPr>
      </w:pPr>
      <w:r>
        <w:rPr>
          <w:rFonts w:cstheme="minorHAnsi"/>
          <w:b/>
          <w:szCs w:val="24"/>
          <w:u w:val="single"/>
          <w:lang w:val="fr-BE"/>
        </w:rPr>
        <w:lastRenderedPageBreak/>
        <w:t>Un test est requis l</w:t>
      </w:r>
      <w:r w:rsidR="0003164C">
        <w:rPr>
          <w:rFonts w:cstheme="minorHAnsi"/>
          <w:b/>
          <w:szCs w:val="24"/>
          <w:u w:val="single"/>
          <w:lang w:val="fr-BE"/>
        </w:rPr>
        <w:t>ors d'une nouvelle admission ou au retour d'un séjour &gt; 48 heures</w:t>
      </w:r>
    </w:p>
    <w:p w:rsidR="00A43872" w:rsidRPr="00920C57" w:rsidRDefault="00CB086C" w:rsidP="00FD3A58">
      <w:pPr>
        <w:pStyle w:val="Tekstopmerking"/>
        <w:ind w:left="630"/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L</w:t>
      </w:r>
      <w:r w:rsidR="00A43872" w:rsidRPr="00920C57">
        <w:rPr>
          <w:sz w:val="22"/>
          <w:szCs w:val="22"/>
          <w:lang w:val="fr-BE"/>
        </w:rPr>
        <w:t>e test sera réalisé le jour de l’entrée ou du retour et le résident sera mis en quarantaine dans l’attente du résultat du test</w:t>
      </w:r>
      <w:r w:rsidR="00123CDC">
        <w:rPr>
          <w:sz w:val="22"/>
          <w:szCs w:val="22"/>
          <w:lang w:val="fr-BE"/>
        </w:rPr>
        <w:t>.</w:t>
      </w:r>
    </w:p>
    <w:p w:rsidR="00A43872" w:rsidRPr="00920C57" w:rsidRDefault="00A43872" w:rsidP="00FD3A58">
      <w:pPr>
        <w:pStyle w:val="Tekstopmerking"/>
        <w:ind w:left="630"/>
        <w:rPr>
          <w:sz w:val="22"/>
          <w:szCs w:val="22"/>
          <w:lang w:val="fr-BE"/>
        </w:rPr>
      </w:pPr>
      <w:r w:rsidRPr="00920C57">
        <w:rPr>
          <w:sz w:val="22"/>
          <w:szCs w:val="22"/>
          <w:lang w:val="fr-BE"/>
        </w:rPr>
        <w:t>Si le test est négatif, la quarantaine est levée.</w:t>
      </w:r>
    </w:p>
    <w:p w:rsidR="0003164C" w:rsidRDefault="00A43872" w:rsidP="00FD3A58">
      <w:pPr>
        <w:spacing w:after="160" w:line="252" w:lineRule="auto"/>
        <w:ind w:left="630"/>
        <w:contextualSpacing/>
        <w:jc w:val="both"/>
        <w:rPr>
          <w:lang w:val="fr-BE"/>
        </w:rPr>
      </w:pPr>
      <w:r w:rsidRPr="00A43872">
        <w:rPr>
          <w:szCs w:val="22"/>
          <w:lang w:val="fr-BE"/>
        </w:rPr>
        <w:t>Si le test est</w:t>
      </w:r>
      <w:r w:rsidRPr="00CB086C">
        <w:rPr>
          <w:szCs w:val="22"/>
          <w:lang w:val="fr-BE"/>
        </w:rPr>
        <w:t xml:space="preserve"> positif, le résident </w:t>
      </w:r>
      <w:r w:rsidR="00CB086C">
        <w:rPr>
          <w:szCs w:val="22"/>
          <w:lang w:val="fr-BE"/>
        </w:rPr>
        <w:t>poursuit sa quarantaine</w:t>
      </w:r>
      <w:r w:rsidR="00760582">
        <w:rPr>
          <w:szCs w:val="22"/>
          <w:lang w:val="fr-BE"/>
        </w:rPr>
        <w:t xml:space="preserve"> laquelle se transforme en isolemen</w:t>
      </w:r>
      <w:r w:rsidR="00C2245A">
        <w:rPr>
          <w:szCs w:val="22"/>
          <w:lang w:val="fr-BE"/>
        </w:rPr>
        <w:t>t</w:t>
      </w:r>
      <w:r w:rsidR="00CB086C">
        <w:rPr>
          <w:szCs w:val="22"/>
          <w:lang w:val="fr-BE"/>
        </w:rPr>
        <w:t xml:space="preserve">. </w:t>
      </w:r>
      <w:r w:rsidR="0003164C">
        <w:rPr>
          <w:lang w:val="fr-BE"/>
        </w:rPr>
        <w:t xml:space="preserve">Un résultat positif déterminera </w:t>
      </w:r>
      <w:r w:rsidR="0073331C">
        <w:rPr>
          <w:lang w:val="fr-BE"/>
        </w:rPr>
        <w:t xml:space="preserve">toujours </w:t>
      </w:r>
      <w:r w:rsidR="0003164C">
        <w:rPr>
          <w:lang w:val="fr-BE"/>
        </w:rPr>
        <w:t xml:space="preserve">un isolement de </w:t>
      </w:r>
      <w:r w:rsidR="0003164C" w:rsidRPr="005B136F">
        <w:rPr>
          <w:i/>
          <w:lang w:val="fr-BE"/>
        </w:rPr>
        <w:t>10 jours</w:t>
      </w:r>
      <w:r w:rsidR="00E526DB">
        <w:rPr>
          <w:i/>
          <w:lang w:val="fr-BE"/>
        </w:rPr>
        <w:t xml:space="preserve"> pour les personnes vaccinées</w:t>
      </w:r>
      <w:r w:rsidR="0003164C">
        <w:rPr>
          <w:lang w:val="fr-BE"/>
        </w:rPr>
        <w:t>.</w:t>
      </w:r>
    </w:p>
    <w:p w:rsidR="00A441A3" w:rsidRDefault="00A441A3" w:rsidP="00BB1DC2">
      <w:pPr>
        <w:spacing w:after="160" w:line="252" w:lineRule="auto"/>
        <w:contextualSpacing/>
        <w:jc w:val="both"/>
        <w:rPr>
          <w:lang w:val="fr-BE"/>
        </w:rPr>
      </w:pPr>
    </w:p>
    <w:p w:rsidR="00CD756F" w:rsidRPr="00782711" w:rsidRDefault="00A441A3" w:rsidP="00BB1DC2">
      <w:pPr>
        <w:spacing w:after="160" w:line="252" w:lineRule="auto"/>
        <w:contextualSpacing/>
        <w:jc w:val="both"/>
        <w:rPr>
          <w:b/>
          <w:bCs/>
          <w:lang w:val="fr-BE"/>
        </w:rPr>
      </w:pPr>
      <w:r w:rsidRPr="00782711">
        <w:rPr>
          <w:b/>
          <w:bCs/>
          <w:lang w:val="fr-BE"/>
        </w:rPr>
        <w:t>L</w:t>
      </w:r>
      <w:r w:rsidR="00CD756F" w:rsidRPr="00782711">
        <w:rPr>
          <w:b/>
          <w:bCs/>
          <w:lang w:val="fr-BE"/>
        </w:rPr>
        <w:t>es points suivants concernent l'ensemble des institutions qu'elle que soit le taux de vaccination des ré</w:t>
      </w:r>
      <w:r w:rsidR="004F68F3" w:rsidRPr="00782711">
        <w:rPr>
          <w:b/>
          <w:bCs/>
          <w:lang w:val="fr-BE"/>
        </w:rPr>
        <w:t>s</w:t>
      </w:r>
      <w:r w:rsidR="00CD756F" w:rsidRPr="00782711">
        <w:rPr>
          <w:b/>
          <w:bCs/>
          <w:lang w:val="fr-BE"/>
        </w:rPr>
        <w:t>idents.</w:t>
      </w:r>
    </w:p>
    <w:p w:rsidR="00A441A3" w:rsidRDefault="00A441A3" w:rsidP="00BB1DC2">
      <w:pPr>
        <w:spacing w:after="160" w:line="252" w:lineRule="auto"/>
        <w:contextualSpacing/>
        <w:jc w:val="both"/>
        <w:rPr>
          <w:lang w:val="fr-BE"/>
        </w:rPr>
      </w:pPr>
    </w:p>
    <w:p w:rsidR="0003164C" w:rsidRDefault="0003164C" w:rsidP="00FD3A58">
      <w:pPr>
        <w:pStyle w:val="Lijstalinea"/>
        <w:numPr>
          <w:ilvl w:val="0"/>
          <w:numId w:val="22"/>
        </w:numPr>
        <w:ind w:left="986" w:hanging="357"/>
        <w:rPr>
          <w:rFonts w:cstheme="minorHAnsi"/>
          <w:b/>
          <w:szCs w:val="24"/>
          <w:u w:val="single"/>
          <w:lang w:val="fr-BE"/>
        </w:rPr>
      </w:pPr>
      <w:r>
        <w:rPr>
          <w:rFonts w:cstheme="minorHAnsi"/>
          <w:b/>
          <w:szCs w:val="24"/>
          <w:u w:val="single"/>
          <w:lang w:val="fr-BE"/>
        </w:rPr>
        <w:t>Pas de test dans les 90 jours qui suivent un résultat positif</w:t>
      </w:r>
    </w:p>
    <w:p w:rsidR="0003164C" w:rsidRDefault="0003164C" w:rsidP="00FD3A58">
      <w:pPr>
        <w:pStyle w:val="Geenafstand"/>
        <w:spacing w:line="252" w:lineRule="auto"/>
        <w:ind w:left="630"/>
        <w:jc w:val="both"/>
      </w:pPr>
      <w:r>
        <w:t xml:space="preserve">Jusqu'à présent, les recommandations scientifiques mentionnaient un délai de 8 semaines entre un </w:t>
      </w:r>
      <w:r w:rsidRPr="00176A70">
        <w:rPr>
          <w:rFonts w:ascii="Calibri" w:eastAsia="Times New Roman" w:hAnsi="Calibri" w:cs="Times New Roman"/>
          <w:szCs w:val="20"/>
          <w:lang w:eastAsia="nl-NL"/>
        </w:rPr>
        <w:t xml:space="preserve">test positif et la réalisation d'un test </w:t>
      </w:r>
      <w:r w:rsidR="0073331C" w:rsidRPr="00176A70">
        <w:rPr>
          <w:rFonts w:ascii="Calibri" w:eastAsia="Times New Roman" w:hAnsi="Calibri" w:cs="Times New Roman"/>
          <w:szCs w:val="20"/>
          <w:lang w:eastAsia="nl-NL"/>
        </w:rPr>
        <w:t>ultérieur</w:t>
      </w:r>
      <w:r w:rsidRPr="00176A70">
        <w:rPr>
          <w:rFonts w:ascii="Calibri" w:eastAsia="Times New Roman" w:hAnsi="Calibri" w:cs="Times New Roman"/>
          <w:szCs w:val="20"/>
          <w:lang w:eastAsia="nl-NL"/>
        </w:rPr>
        <w:t>. Ce délai est allongé à 90 jours.</w:t>
      </w:r>
      <w:r>
        <w:t xml:space="preserve"> </w:t>
      </w:r>
    </w:p>
    <w:p w:rsidR="007A6F78" w:rsidRPr="00AC6818" w:rsidRDefault="007A6F78" w:rsidP="00FD3A58">
      <w:pPr>
        <w:pStyle w:val="Lijstalinea"/>
        <w:numPr>
          <w:ilvl w:val="0"/>
          <w:numId w:val="22"/>
        </w:numPr>
        <w:ind w:left="986" w:hanging="357"/>
        <w:rPr>
          <w:rFonts w:cstheme="minorHAnsi"/>
          <w:b/>
          <w:color w:val="000000" w:themeColor="text1"/>
          <w:szCs w:val="24"/>
          <w:u w:val="single"/>
          <w:lang w:val="fr-BE"/>
        </w:rPr>
      </w:pPr>
      <w:r w:rsidRPr="00AC6818">
        <w:rPr>
          <w:rFonts w:cstheme="minorHAnsi"/>
          <w:b/>
          <w:color w:val="000000" w:themeColor="text1"/>
          <w:szCs w:val="24"/>
          <w:u w:val="single"/>
          <w:lang w:val="fr-BE"/>
        </w:rPr>
        <w:t>Suppression du stade 2 minim</w:t>
      </w:r>
      <w:r w:rsidR="00537A8E">
        <w:rPr>
          <w:rFonts w:cstheme="minorHAnsi"/>
          <w:b/>
          <w:color w:val="000000" w:themeColor="text1"/>
          <w:szCs w:val="24"/>
          <w:u w:val="single"/>
          <w:lang w:val="fr-BE"/>
        </w:rPr>
        <w:t>al pour toutes les institutions</w:t>
      </w:r>
    </w:p>
    <w:p w:rsidR="007A6F78" w:rsidRDefault="004F68F3" w:rsidP="00FD3A58">
      <w:pPr>
        <w:spacing w:after="160" w:line="252" w:lineRule="auto"/>
        <w:ind w:left="630"/>
        <w:contextualSpacing/>
        <w:jc w:val="both"/>
        <w:rPr>
          <w:lang w:val="fr-BE"/>
        </w:rPr>
      </w:pPr>
      <w:bookmarkStart w:id="8" w:name="_Hlk72935015"/>
      <w:r>
        <w:rPr>
          <w:lang w:val="fr-BE"/>
        </w:rPr>
        <w:t>Depuis le 01 mars 2021, le</w:t>
      </w:r>
      <w:r w:rsidR="00CD756F">
        <w:rPr>
          <w:lang w:val="fr-BE"/>
        </w:rPr>
        <w:t xml:space="preserve"> stade 2 minimal </w:t>
      </w:r>
      <w:r>
        <w:rPr>
          <w:lang w:val="fr-BE"/>
        </w:rPr>
        <w:t>n'</w:t>
      </w:r>
      <w:r w:rsidR="00CD756F">
        <w:rPr>
          <w:lang w:val="fr-BE"/>
        </w:rPr>
        <w:t xml:space="preserve">était </w:t>
      </w:r>
      <w:r>
        <w:rPr>
          <w:lang w:val="fr-BE"/>
        </w:rPr>
        <w:t>plus</w:t>
      </w:r>
      <w:r w:rsidR="00CD756F">
        <w:rPr>
          <w:lang w:val="fr-BE"/>
        </w:rPr>
        <w:t xml:space="preserve"> d'application pour les </w:t>
      </w:r>
      <w:r>
        <w:rPr>
          <w:lang w:val="fr-BE"/>
        </w:rPr>
        <w:t xml:space="preserve">institutions présentant un taux de vaccination des résidents </w:t>
      </w:r>
      <w:r w:rsidR="00537A8E">
        <w:rPr>
          <w:rFonts w:cs="Calibri"/>
          <w:lang w:val="fr-BE"/>
        </w:rPr>
        <w:t>≥</w:t>
      </w:r>
      <w:r>
        <w:rPr>
          <w:lang w:val="fr-BE"/>
        </w:rPr>
        <w:t xml:space="preserve"> à 90%. Dans le contexte actuel, </w:t>
      </w:r>
      <w:r w:rsidR="007A6F78">
        <w:rPr>
          <w:lang w:val="fr-BE"/>
        </w:rPr>
        <w:t xml:space="preserve">l'imposition d'un stade 2 généralisé minimal pour toutes les institutions </w:t>
      </w:r>
      <w:r>
        <w:rPr>
          <w:lang w:val="fr-BE"/>
        </w:rPr>
        <w:t xml:space="preserve">est levée </w:t>
      </w:r>
      <w:r w:rsidR="007A6F78">
        <w:rPr>
          <w:lang w:val="fr-BE"/>
        </w:rPr>
        <w:t xml:space="preserve">(même si le taux de vaccination des résidents est &lt; 90%) et </w:t>
      </w:r>
      <w:r>
        <w:rPr>
          <w:lang w:val="fr-BE"/>
        </w:rPr>
        <w:t>les</w:t>
      </w:r>
      <w:r w:rsidR="007A6F78">
        <w:rPr>
          <w:lang w:val="fr-BE"/>
        </w:rPr>
        <w:t xml:space="preserve"> cafétaria/restaurants </w:t>
      </w:r>
      <w:r>
        <w:rPr>
          <w:lang w:val="fr-BE"/>
        </w:rPr>
        <w:t xml:space="preserve">sont à nouveaux ouverts </w:t>
      </w:r>
      <w:r w:rsidR="007A6F78">
        <w:rPr>
          <w:lang w:val="fr-BE"/>
        </w:rPr>
        <w:t xml:space="preserve">aux externes </w:t>
      </w:r>
      <w:r>
        <w:rPr>
          <w:lang w:val="fr-BE"/>
        </w:rPr>
        <w:t xml:space="preserve">sous certaines conditions et </w:t>
      </w:r>
      <w:r w:rsidR="007A6F78">
        <w:rPr>
          <w:lang w:val="fr-BE"/>
        </w:rPr>
        <w:t xml:space="preserve">dans le respect des règles du </w:t>
      </w:r>
      <w:proofErr w:type="spellStart"/>
      <w:r w:rsidR="007A6F78">
        <w:rPr>
          <w:lang w:val="fr-BE"/>
        </w:rPr>
        <w:t>CoDeCo</w:t>
      </w:r>
      <w:proofErr w:type="spellEnd"/>
      <w:r w:rsidR="007A6F78">
        <w:rPr>
          <w:lang w:val="fr-BE"/>
        </w:rPr>
        <w:t xml:space="preserve"> (abrogation du courrier du 21 octobre 2020)</w:t>
      </w:r>
      <w:bookmarkEnd w:id="8"/>
      <w:r>
        <w:rPr>
          <w:lang w:val="fr-BE"/>
        </w:rPr>
        <w:t>.</w:t>
      </w:r>
    </w:p>
    <w:p w:rsidR="007A6F78" w:rsidRPr="00CF5C21" w:rsidRDefault="00BF650B" w:rsidP="00FD3A58">
      <w:pPr>
        <w:pStyle w:val="Lijstalinea"/>
        <w:numPr>
          <w:ilvl w:val="0"/>
          <w:numId w:val="22"/>
        </w:numPr>
        <w:ind w:left="986" w:hanging="357"/>
        <w:rPr>
          <w:b/>
          <w:bCs/>
          <w:u w:val="single"/>
          <w:lang w:val="fr-BE"/>
        </w:rPr>
      </w:pPr>
      <w:r w:rsidRPr="00FD3A58">
        <w:rPr>
          <w:rFonts w:cstheme="minorHAnsi"/>
          <w:b/>
          <w:color w:val="000000" w:themeColor="text1"/>
          <w:szCs w:val="24"/>
          <w:u w:val="single"/>
          <w:lang w:val="fr-BE"/>
        </w:rPr>
        <w:t>Suppression</w:t>
      </w:r>
      <w:r w:rsidRPr="00CF5C21">
        <w:rPr>
          <w:b/>
          <w:bCs/>
          <w:u w:val="single"/>
          <w:lang w:val="fr-BE"/>
        </w:rPr>
        <w:t xml:space="preserve"> du remplissage des documents de la déclaration/attestation </w:t>
      </w:r>
      <w:r w:rsidR="00537A8E">
        <w:rPr>
          <w:b/>
          <w:bCs/>
          <w:u w:val="single"/>
          <w:lang w:val="fr-BE"/>
        </w:rPr>
        <w:t>sur l'honneur par les visiteurs</w:t>
      </w:r>
    </w:p>
    <w:p w:rsidR="000C20D8" w:rsidRPr="00E0783F" w:rsidRDefault="00A441A3" w:rsidP="00FD3A58">
      <w:pPr>
        <w:spacing w:after="160" w:line="252" w:lineRule="auto"/>
        <w:ind w:left="630"/>
        <w:jc w:val="both"/>
        <w:rPr>
          <w:lang w:val="fr-BE"/>
        </w:rPr>
      </w:pPr>
      <w:r>
        <w:rPr>
          <w:lang w:val="fr-BE"/>
        </w:rPr>
        <w:t>L</w:t>
      </w:r>
      <w:r w:rsidRPr="003B24A7">
        <w:rPr>
          <w:lang w:val="fr-BE"/>
        </w:rPr>
        <w:t>e registre de présence au sein de l’institution indique expressément qu’en signant le registre, le visiteur atteste qu’il a pris connaissa</w:t>
      </w:r>
      <w:r w:rsidR="004A44B7">
        <w:rPr>
          <w:lang w:val="fr-BE"/>
        </w:rPr>
        <w:t xml:space="preserve">nce et se conforme </w:t>
      </w:r>
      <w:r w:rsidRPr="003B24A7">
        <w:rPr>
          <w:lang w:val="fr-BE"/>
        </w:rPr>
        <w:t>aux dispositions prévues dans la circulaire relati</w:t>
      </w:r>
      <w:r w:rsidR="00B81CC4">
        <w:rPr>
          <w:lang w:val="fr-BE"/>
        </w:rPr>
        <w:t xml:space="preserve">ve à l’organisation des visites </w:t>
      </w:r>
      <w:r w:rsidRPr="003B24A7">
        <w:rPr>
          <w:lang w:val="fr-BE"/>
        </w:rPr>
        <w:t>qui a été mise à sa disposition</w:t>
      </w:r>
      <w:r w:rsidR="00B81CC4">
        <w:rPr>
          <w:lang w:val="fr-BE"/>
        </w:rPr>
        <w:t>.</w:t>
      </w:r>
    </w:p>
    <w:p w:rsidR="005B136F" w:rsidRPr="00AC6818" w:rsidRDefault="005B136F" w:rsidP="00BB1DC2">
      <w:pPr>
        <w:spacing w:after="160" w:line="252" w:lineRule="auto"/>
        <w:jc w:val="both"/>
        <w:rPr>
          <w:lang w:val="fr-BE"/>
        </w:rPr>
      </w:pPr>
      <w:bookmarkStart w:id="9" w:name="_Hlk58856925"/>
      <w:r w:rsidRPr="00AC6818">
        <w:rPr>
          <w:b/>
          <w:lang w:val="fr-BE"/>
        </w:rPr>
        <w:t xml:space="preserve">Nous attirons votre attention également au sujet de la modification de la définition des stades épidémiques </w:t>
      </w:r>
      <w:r w:rsidR="002A4650" w:rsidRPr="00AC6818">
        <w:rPr>
          <w:b/>
          <w:lang w:val="fr-BE"/>
        </w:rPr>
        <w:t>au sein des maisons de repos.</w:t>
      </w:r>
      <w:r w:rsidR="002A4650" w:rsidRPr="00AC6818">
        <w:rPr>
          <w:lang w:val="fr-BE"/>
        </w:rPr>
        <w:t xml:space="preserve"> En effet, vu la situation épidémiologique favorable, le nombre de cas pour entreprendre des actions a été revu à la hausse et ces cas nécessitent d'être associé</w:t>
      </w:r>
      <w:r w:rsidR="0073331C" w:rsidRPr="00AC6818">
        <w:rPr>
          <w:lang w:val="fr-BE"/>
        </w:rPr>
        <w:t>s</w:t>
      </w:r>
      <w:r w:rsidR="002A4650" w:rsidRPr="00AC6818">
        <w:rPr>
          <w:lang w:val="fr-BE"/>
        </w:rPr>
        <w:t xml:space="preserve"> pour conclure à une suspicion de clusters. </w:t>
      </w:r>
    </w:p>
    <w:p w:rsidR="000F36B5" w:rsidRPr="00CF5C21" w:rsidRDefault="000F36B5" w:rsidP="005C1CAF">
      <w:pPr>
        <w:pStyle w:val="Geenafstand"/>
        <w:jc w:val="both"/>
        <w:rPr>
          <w:b/>
        </w:rPr>
      </w:pPr>
      <w:r>
        <w:t xml:space="preserve">Nous vous </w:t>
      </w:r>
      <w:r w:rsidR="002A4650">
        <w:t xml:space="preserve">remercions de </w:t>
      </w:r>
      <w:r>
        <w:t xml:space="preserve">vos efforts </w:t>
      </w:r>
      <w:r w:rsidR="002A4650">
        <w:t>qui contribuent à l'amélioration de la situation sanitaire, en particulier grâce à l'augmentation du taux de vaccination</w:t>
      </w:r>
      <w:r w:rsidR="00E6659A">
        <w:t xml:space="preserve"> </w:t>
      </w:r>
      <w:r w:rsidR="00E00EC4">
        <w:t>des résidents et du personnel</w:t>
      </w:r>
      <w:r>
        <w:t xml:space="preserve">. </w:t>
      </w:r>
      <w:r w:rsidRPr="00CF5C21">
        <w:rPr>
          <w:b/>
        </w:rPr>
        <w:t xml:space="preserve">Nous vous rappelons également qu'il est important de remplir </w:t>
      </w:r>
      <w:r w:rsidR="00E526DB" w:rsidRPr="00CF5C21">
        <w:rPr>
          <w:b/>
        </w:rPr>
        <w:t xml:space="preserve">au minimum une fois par semaine </w:t>
      </w:r>
      <w:r w:rsidRPr="00CF5C21">
        <w:rPr>
          <w:b/>
        </w:rPr>
        <w:t>le questionnaire Lime Survey</w:t>
      </w:r>
      <w:r w:rsidR="00E526DB" w:rsidRPr="00CF5C21">
        <w:rPr>
          <w:b/>
        </w:rPr>
        <w:t xml:space="preserve">: ces données </w:t>
      </w:r>
      <w:r w:rsidRPr="00CF5C21">
        <w:rPr>
          <w:b/>
        </w:rPr>
        <w:t>constitue</w:t>
      </w:r>
      <w:r w:rsidR="00E526DB" w:rsidRPr="00CF5C21">
        <w:rPr>
          <w:b/>
        </w:rPr>
        <w:t>nt</w:t>
      </w:r>
      <w:r w:rsidRPr="00CF5C21">
        <w:rPr>
          <w:b/>
        </w:rPr>
        <w:t xml:space="preserve"> un </w:t>
      </w:r>
      <w:r w:rsidR="008C3322" w:rsidRPr="00CF5C21">
        <w:rPr>
          <w:b/>
        </w:rPr>
        <w:t xml:space="preserve">outil </w:t>
      </w:r>
      <w:r w:rsidRPr="00CF5C21">
        <w:rPr>
          <w:b/>
        </w:rPr>
        <w:t xml:space="preserve">essentiel pour </w:t>
      </w:r>
      <w:r w:rsidR="008C3322" w:rsidRPr="00CF5C21">
        <w:rPr>
          <w:b/>
        </w:rPr>
        <w:t>envisager des assouplissements qui con</w:t>
      </w:r>
      <w:r w:rsidR="00E526DB" w:rsidRPr="00CF5C21">
        <w:rPr>
          <w:b/>
        </w:rPr>
        <w:t>tribuent au bien-être de v</w:t>
      </w:r>
      <w:r w:rsidR="008C3322" w:rsidRPr="00CF5C21">
        <w:rPr>
          <w:b/>
        </w:rPr>
        <w:t>os résidents</w:t>
      </w:r>
      <w:r w:rsidRPr="00CF5C21">
        <w:rPr>
          <w:b/>
        </w:rPr>
        <w:t>.</w:t>
      </w:r>
    </w:p>
    <w:p w:rsidR="00BF1B15" w:rsidRDefault="00BF1B15" w:rsidP="008A04C0">
      <w:pPr>
        <w:pStyle w:val="Geenafstand"/>
        <w:jc w:val="both"/>
      </w:pPr>
    </w:p>
    <w:bookmarkEnd w:id="9"/>
    <w:p w:rsidR="00F045B3" w:rsidRDefault="00F045B3" w:rsidP="00A72ED0">
      <w:pPr>
        <w:pStyle w:val="Geenafstand"/>
        <w:jc w:val="both"/>
      </w:pPr>
      <w:r>
        <w:t>Veuillez agréer, Madame, Monsieur, l'assurance de ma considération distinguée.</w:t>
      </w:r>
    </w:p>
    <w:p w:rsidR="00F045B3" w:rsidRDefault="00F045B3" w:rsidP="00A72ED0">
      <w:pPr>
        <w:pStyle w:val="Geenafstand"/>
        <w:jc w:val="both"/>
      </w:pPr>
    </w:p>
    <w:p w:rsidR="000279A8" w:rsidRDefault="000279A8" w:rsidP="0080122F">
      <w:pPr>
        <w:jc w:val="both"/>
        <w:rPr>
          <w:lang w:val="fr-BE"/>
        </w:rPr>
      </w:pPr>
    </w:p>
    <w:p w:rsidR="008009EB" w:rsidRDefault="008009EB" w:rsidP="0080122F">
      <w:pPr>
        <w:jc w:val="both"/>
        <w:rPr>
          <w:lang w:val="fr-BE"/>
        </w:rPr>
      </w:pPr>
    </w:p>
    <w:p w:rsidR="00F045B3" w:rsidRDefault="00F045B3" w:rsidP="0080122F">
      <w:pPr>
        <w:tabs>
          <w:tab w:val="left" w:pos="6946"/>
        </w:tabs>
        <w:jc w:val="both"/>
        <w:rPr>
          <w:lang w:val="fr-BE"/>
        </w:rPr>
      </w:pPr>
      <w:r>
        <w:rPr>
          <w:lang w:val="fr-BE"/>
        </w:rPr>
        <w:tab/>
      </w:r>
      <w:r w:rsidRPr="00F045B3">
        <w:rPr>
          <w:lang w:val="fr-BE"/>
        </w:rPr>
        <w:t xml:space="preserve">Tania Dekens </w:t>
      </w:r>
    </w:p>
    <w:p w:rsidR="006E0BC7" w:rsidRPr="00F045B3" w:rsidRDefault="00F045B3" w:rsidP="0080122F">
      <w:pPr>
        <w:tabs>
          <w:tab w:val="left" w:pos="6946"/>
        </w:tabs>
        <w:jc w:val="both"/>
        <w:rPr>
          <w:lang w:val="fr-BE"/>
        </w:rPr>
      </w:pPr>
      <w:r>
        <w:rPr>
          <w:lang w:val="fr-BE"/>
        </w:rPr>
        <w:tab/>
      </w:r>
      <w:r w:rsidRPr="00F045B3">
        <w:rPr>
          <w:lang w:val="fr-BE"/>
        </w:rPr>
        <w:t>Fonctionnaire Dirigeant</w:t>
      </w:r>
    </w:p>
    <w:sectPr w:rsidR="006E0BC7" w:rsidRPr="00F045B3" w:rsidSect="006E0BC7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20A62" w16cex:dateUtc="2021-06-02T11:47:00Z"/>
  <w16cex:commentExtensible w16cex:durableId="246236F0" w16cex:dateUtc="2021-06-02T14:57:00Z"/>
  <w16cex:commentExtensible w16cex:durableId="246332B3" w16cex:dateUtc="2021-06-03T08:51:00Z"/>
  <w16cex:commentExtensible w16cex:durableId="246335E9" w16cex:dateUtc="2021-06-03T09:05:00Z"/>
  <w16cex:commentExtensible w16cex:durableId="24621DB0" w16cex:dateUtc="2021-06-02T13:09:00Z"/>
  <w16cex:commentExtensible w16cex:durableId="24620AB5" w16cex:dateUtc="2021-06-02T11:48:00Z"/>
  <w16cex:commentExtensible w16cex:durableId="24633D1D" w16cex:dateUtc="2021-06-03T09:35:00Z"/>
  <w16cex:commentExtensible w16cex:durableId="24622922" w16cex:dateUtc="2021-06-02T13:58:00Z"/>
  <w16cex:commentExtensible w16cex:durableId="24633F03" w16cex:dateUtc="2021-06-03T09:44:00Z"/>
  <w16cex:commentExtensible w16cex:durableId="24633FC3" w16cex:dateUtc="2021-06-03T09:47:00Z"/>
  <w16cex:commentExtensible w16cex:durableId="246231C3" w16cex:dateUtc="2021-06-02T14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19" w:rsidRDefault="00D86219" w:rsidP="00EA58C4">
      <w:pPr>
        <w:spacing w:after="0"/>
      </w:pPr>
      <w:r>
        <w:separator/>
      </w:r>
    </w:p>
  </w:endnote>
  <w:endnote w:type="continuationSeparator" w:id="0">
    <w:p w:rsidR="00D86219" w:rsidRDefault="00D86219" w:rsidP="00EA58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9AD" w:rsidRDefault="00D439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9AD" w:rsidRDefault="00D439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9AD" w:rsidRDefault="00D439AD" w:rsidP="00FC444C">
    <w:pPr>
      <w:pStyle w:val="Voettekst"/>
      <w:tabs>
        <w:tab w:val="clear" w:pos="4536"/>
        <w:tab w:val="clear" w:pos="9072"/>
        <w:tab w:val="center" w:pos="4535"/>
        <w:tab w:val="left" w:pos="7908"/>
      </w:tabs>
    </w:pPr>
    <w:r>
      <w:rPr>
        <w:noProof/>
      </w:rPr>
      <w:drawing>
        <wp:anchor distT="0" distB="0" distL="114300" distR="114300" simplePos="0" relativeHeight="251655680" behindDoc="1" locked="0" layoutInCell="1" allowOverlap="0" wp14:anchorId="59684642" wp14:editId="105C2C58">
          <wp:simplePos x="0" y="0"/>
          <wp:positionH relativeFrom="column">
            <wp:posOffset>-900430</wp:posOffset>
          </wp:positionH>
          <wp:positionV relativeFrom="bottomMargin">
            <wp:posOffset>180340</wp:posOffset>
          </wp:positionV>
          <wp:extent cx="7560000" cy="1044000"/>
          <wp:effectExtent l="0" t="0" r="3175" b="3810"/>
          <wp:wrapTopAndBottom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_F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19" w:rsidRDefault="00D86219" w:rsidP="00EA58C4">
      <w:pPr>
        <w:spacing w:after="0"/>
      </w:pPr>
      <w:r>
        <w:separator/>
      </w:r>
    </w:p>
  </w:footnote>
  <w:footnote w:type="continuationSeparator" w:id="0">
    <w:p w:rsidR="00D86219" w:rsidRDefault="00D86219" w:rsidP="00EA58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9AD" w:rsidRDefault="00D439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9AD" w:rsidRDefault="00D439A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9AD" w:rsidRDefault="00D439AD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0" wp14:anchorId="50AC7C24" wp14:editId="04234DB2">
          <wp:simplePos x="0" y="0"/>
          <wp:positionH relativeFrom="leftMargin">
            <wp:posOffset>0</wp:posOffset>
          </wp:positionH>
          <wp:positionV relativeFrom="page">
            <wp:posOffset>-264</wp:posOffset>
          </wp:positionV>
          <wp:extent cx="7560000" cy="1260000"/>
          <wp:effectExtent l="0" t="0" r="317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hoofding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54BE54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8318F"/>
    <w:multiLevelType w:val="hybridMultilevel"/>
    <w:tmpl w:val="6CC2B462"/>
    <w:lvl w:ilvl="0" w:tplc="CFDCD094">
      <w:start w:val="1"/>
      <w:numFmt w:val="bullet"/>
      <w:pStyle w:val="Opsommi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5174"/>
    <w:multiLevelType w:val="hybridMultilevel"/>
    <w:tmpl w:val="32A2DF38"/>
    <w:lvl w:ilvl="0" w:tplc="C22A5D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141A7"/>
    <w:multiLevelType w:val="hybridMultilevel"/>
    <w:tmpl w:val="B79E9C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D358A"/>
    <w:multiLevelType w:val="multilevel"/>
    <w:tmpl w:val="6BAA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3F1AE8"/>
    <w:multiLevelType w:val="hybridMultilevel"/>
    <w:tmpl w:val="CFD0ECCE"/>
    <w:lvl w:ilvl="0" w:tplc="8DB014E4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56565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C657D"/>
    <w:multiLevelType w:val="multilevel"/>
    <w:tmpl w:val="8BA6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37E7E"/>
    <w:multiLevelType w:val="multilevel"/>
    <w:tmpl w:val="0338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7B1F96"/>
    <w:multiLevelType w:val="hybridMultilevel"/>
    <w:tmpl w:val="CB3C3DDC"/>
    <w:lvl w:ilvl="0" w:tplc="C22A5D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D7871"/>
    <w:multiLevelType w:val="hybridMultilevel"/>
    <w:tmpl w:val="A36CD99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2517A"/>
    <w:multiLevelType w:val="hybridMultilevel"/>
    <w:tmpl w:val="CF64BCE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B5AEE"/>
    <w:multiLevelType w:val="hybridMultilevel"/>
    <w:tmpl w:val="4426FAC2"/>
    <w:lvl w:ilvl="0" w:tplc="99DAD1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2FC3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E1E2F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308C6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860C2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ED62D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86C4B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B708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802D2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3A6A2E9E"/>
    <w:multiLevelType w:val="hybridMultilevel"/>
    <w:tmpl w:val="479EC4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0155A"/>
    <w:multiLevelType w:val="hybridMultilevel"/>
    <w:tmpl w:val="68BED792"/>
    <w:lvl w:ilvl="0" w:tplc="0813000F">
      <w:start w:val="1"/>
      <w:numFmt w:val="decimal"/>
      <w:lvlText w:val="%1."/>
      <w:lvlJc w:val="left"/>
      <w:pPr>
        <w:ind w:left="786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01499"/>
    <w:multiLevelType w:val="hybridMultilevel"/>
    <w:tmpl w:val="1D941236"/>
    <w:lvl w:ilvl="0" w:tplc="77DCB94C">
      <w:start w:val="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91127"/>
    <w:multiLevelType w:val="hybridMultilevel"/>
    <w:tmpl w:val="12827DF8"/>
    <w:lvl w:ilvl="0" w:tplc="0813000F">
      <w:start w:val="1"/>
      <w:numFmt w:val="decimal"/>
      <w:lvlText w:val="%1."/>
      <w:lvlJc w:val="left"/>
      <w:pPr>
        <w:ind w:left="786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2DE6"/>
    <w:multiLevelType w:val="hybridMultilevel"/>
    <w:tmpl w:val="6F7C5E7A"/>
    <w:lvl w:ilvl="0" w:tplc="55EA6CE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21BFB"/>
    <w:multiLevelType w:val="multilevel"/>
    <w:tmpl w:val="49E4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C22038"/>
    <w:multiLevelType w:val="multilevel"/>
    <w:tmpl w:val="6662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F36D3B"/>
    <w:multiLevelType w:val="hybridMultilevel"/>
    <w:tmpl w:val="6D4EBD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81CA8"/>
    <w:multiLevelType w:val="hybridMultilevel"/>
    <w:tmpl w:val="57364582"/>
    <w:lvl w:ilvl="0" w:tplc="C46E4A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4636D"/>
    <w:multiLevelType w:val="hybridMultilevel"/>
    <w:tmpl w:val="BD109560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F5AD7"/>
    <w:multiLevelType w:val="hybridMultilevel"/>
    <w:tmpl w:val="118C9664"/>
    <w:lvl w:ilvl="0" w:tplc="0813000F">
      <w:start w:val="1"/>
      <w:numFmt w:val="decimal"/>
      <w:lvlText w:val="%1."/>
      <w:lvlJc w:val="left"/>
      <w:pPr>
        <w:ind w:left="1146" w:hanging="360"/>
      </w:pPr>
    </w:lvl>
    <w:lvl w:ilvl="1" w:tplc="080C0019">
      <w:start w:val="1"/>
      <w:numFmt w:val="lowerLetter"/>
      <w:lvlText w:val="%2."/>
      <w:lvlJc w:val="left"/>
      <w:pPr>
        <w:ind w:left="1866" w:hanging="360"/>
      </w:pPr>
    </w:lvl>
    <w:lvl w:ilvl="2" w:tplc="080C001B">
      <w:start w:val="1"/>
      <w:numFmt w:val="lowerRoman"/>
      <w:lvlText w:val="%3."/>
      <w:lvlJc w:val="right"/>
      <w:pPr>
        <w:ind w:left="2586" w:hanging="180"/>
      </w:pPr>
    </w:lvl>
    <w:lvl w:ilvl="3" w:tplc="080C000F">
      <w:start w:val="1"/>
      <w:numFmt w:val="decimal"/>
      <w:lvlText w:val="%4."/>
      <w:lvlJc w:val="left"/>
      <w:pPr>
        <w:ind w:left="3306" w:hanging="360"/>
      </w:pPr>
    </w:lvl>
    <w:lvl w:ilvl="4" w:tplc="080C0019">
      <w:start w:val="1"/>
      <w:numFmt w:val="lowerLetter"/>
      <w:lvlText w:val="%5."/>
      <w:lvlJc w:val="left"/>
      <w:pPr>
        <w:ind w:left="4026" w:hanging="360"/>
      </w:pPr>
    </w:lvl>
    <w:lvl w:ilvl="5" w:tplc="080C001B">
      <w:start w:val="1"/>
      <w:numFmt w:val="lowerRoman"/>
      <w:lvlText w:val="%6."/>
      <w:lvlJc w:val="right"/>
      <w:pPr>
        <w:ind w:left="4746" w:hanging="180"/>
      </w:pPr>
    </w:lvl>
    <w:lvl w:ilvl="6" w:tplc="080C000F">
      <w:start w:val="1"/>
      <w:numFmt w:val="decimal"/>
      <w:lvlText w:val="%7."/>
      <w:lvlJc w:val="left"/>
      <w:pPr>
        <w:ind w:left="5466" w:hanging="360"/>
      </w:pPr>
    </w:lvl>
    <w:lvl w:ilvl="7" w:tplc="080C0019">
      <w:start w:val="1"/>
      <w:numFmt w:val="lowerLetter"/>
      <w:lvlText w:val="%8."/>
      <w:lvlJc w:val="left"/>
      <w:pPr>
        <w:ind w:left="6186" w:hanging="360"/>
      </w:pPr>
    </w:lvl>
    <w:lvl w:ilvl="8" w:tplc="080C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71527A1"/>
    <w:multiLevelType w:val="hybridMultilevel"/>
    <w:tmpl w:val="118C9664"/>
    <w:lvl w:ilvl="0" w:tplc="0813000F">
      <w:start w:val="1"/>
      <w:numFmt w:val="decimal"/>
      <w:lvlText w:val="%1."/>
      <w:lvlJc w:val="left"/>
      <w:pPr>
        <w:ind w:left="1146" w:hanging="360"/>
      </w:pPr>
    </w:lvl>
    <w:lvl w:ilvl="1" w:tplc="080C0019">
      <w:start w:val="1"/>
      <w:numFmt w:val="lowerLetter"/>
      <w:lvlText w:val="%2."/>
      <w:lvlJc w:val="left"/>
      <w:pPr>
        <w:ind w:left="1866" w:hanging="360"/>
      </w:pPr>
    </w:lvl>
    <w:lvl w:ilvl="2" w:tplc="080C001B">
      <w:start w:val="1"/>
      <w:numFmt w:val="lowerRoman"/>
      <w:lvlText w:val="%3."/>
      <w:lvlJc w:val="right"/>
      <w:pPr>
        <w:ind w:left="2586" w:hanging="180"/>
      </w:pPr>
    </w:lvl>
    <w:lvl w:ilvl="3" w:tplc="080C000F">
      <w:start w:val="1"/>
      <w:numFmt w:val="decimal"/>
      <w:lvlText w:val="%4."/>
      <w:lvlJc w:val="left"/>
      <w:pPr>
        <w:ind w:left="3306" w:hanging="360"/>
      </w:pPr>
    </w:lvl>
    <w:lvl w:ilvl="4" w:tplc="080C0019">
      <w:start w:val="1"/>
      <w:numFmt w:val="lowerLetter"/>
      <w:lvlText w:val="%5."/>
      <w:lvlJc w:val="left"/>
      <w:pPr>
        <w:ind w:left="4026" w:hanging="360"/>
      </w:pPr>
    </w:lvl>
    <w:lvl w:ilvl="5" w:tplc="080C001B">
      <w:start w:val="1"/>
      <w:numFmt w:val="lowerRoman"/>
      <w:lvlText w:val="%6."/>
      <w:lvlJc w:val="right"/>
      <w:pPr>
        <w:ind w:left="4746" w:hanging="180"/>
      </w:pPr>
    </w:lvl>
    <w:lvl w:ilvl="6" w:tplc="080C000F">
      <w:start w:val="1"/>
      <w:numFmt w:val="decimal"/>
      <w:lvlText w:val="%7."/>
      <w:lvlJc w:val="left"/>
      <w:pPr>
        <w:ind w:left="5466" w:hanging="360"/>
      </w:pPr>
    </w:lvl>
    <w:lvl w:ilvl="7" w:tplc="080C0019">
      <w:start w:val="1"/>
      <w:numFmt w:val="lowerLetter"/>
      <w:lvlText w:val="%8."/>
      <w:lvlJc w:val="left"/>
      <w:pPr>
        <w:ind w:left="6186" w:hanging="360"/>
      </w:pPr>
    </w:lvl>
    <w:lvl w:ilvl="8" w:tplc="080C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798524C"/>
    <w:multiLevelType w:val="hybridMultilevel"/>
    <w:tmpl w:val="FFCCD40E"/>
    <w:lvl w:ilvl="0" w:tplc="C22A5D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3"/>
  </w:num>
  <w:num w:numId="5">
    <w:abstractNumId w:val="6"/>
  </w:num>
  <w:num w:numId="6">
    <w:abstractNumId w:val="12"/>
  </w:num>
  <w:num w:numId="7">
    <w:abstractNumId w:val="19"/>
  </w:num>
  <w:num w:numId="8">
    <w:abstractNumId w:val="21"/>
  </w:num>
  <w:num w:numId="9">
    <w:abstractNumId w:val="9"/>
  </w:num>
  <w:num w:numId="10">
    <w:abstractNumId w:val="16"/>
  </w:num>
  <w:num w:numId="11">
    <w:abstractNumId w:val="17"/>
  </w:num>
  <w:num w:numId="12">
    <w:abstractNumId w:val="7"/>
  </w:num>
  <w:num w:numId="13">
    <w:abstractNumId w:val="4"/>
  </w:num>
  <w:num w:numId="14">
    <w:abstractNumId w:val="18"/>
  </w:num>
  <w:num w:numId="15">
    <w:abstractNumId w:val="15"/>
  </w:num>
  <w:num w:numId="16">
    <w:abstractNumId w:val="8"/>
  </w:num>
  <w:num w:numId="17">
    <w:abstractNumId w:val="2"/>
  </w:num>
  <w:num w:numId="18">
    <w:abstractNumId w:val="24"/>
  </w:num>
  <w:num w:numId="19">
    <w:abstractNumId w:val="14"/>
  </w:num>
  <w:num w:numId="20">
    <w:abstractNumId w:val="13"/>
  </w:num>
  <w:num w:numId="21">
    <w:abstractNumId w:val="1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C4"/>
    <w:rsid w:val="00017E1E"/>
    <w:rsid w:val="00024E56"/>
    <w:rsid w:val="000279A8"/>
    <w:rsid w:val="00027DD9"/>
    <w:rsid w:val="0003164C"/>
    <w:rsid w:val="000404EE"/>
    <w:rsid w:val="00045B57"/>
    <w:rsid w:val="00047580"/>
    <w:rsid w:val="0005385A"/>
    <w:rsid w:val="000567C5"/>
    <w:rsid w:val="0007248C"/>
    <w:rsid w:val="00074F8B"/>
    <w:rsid w:val="000A7BF3"/>
    <w:rsid w:val="000B3535"/>
    <w:rsid w:val="000C20D8"/>
    <w:rsid w:val="000C6B06"/>
    <w:rsid w:val="000D1876"/>
    <w:rsid w:val="000E4D4C"/>
    <w:rsid w:val="000F36B5"/>
    <w:rsid w:val="00110F9E"/>
    <w:rsid w:val="00123CDC"/>
    <w:rsid w:val="001711FE"/>
    <w:rsid w:val="001725A0"/>
    <w:rsid w:val="00176A70"/>
    <w:rsid w:val="001A539C"/>
    <w:rsid w:val="001A5BE0"/>
    <w:rsid w:val="001B0E27"/>
    <w:rsid w:val="001B1100"/>
    <w:rsid w:val="001B58EE"/>
    <w:rsid w:val="001C3DC7"/>
    <w:rsid w:val="001D3354"/>
    <w:rsid w:val="001F2EEC"/>
    <w:rsid w:val="00202D66"/>
    <w:rsid w:val="00216AA6"/>
    <w:rsid w:val="00255611"/>
    <w:rsid w:val="00263B4A"/>
    <w:rsid w:val="0027032A"/>
    <w:rsid w:val="002866D0"/>
    <w:rsid w:val="002A03DC"/>
    <w:rsid w:val="002A0A3A"/>
    <w:rsid w:val="002A406E"/>
    <w:rsid w:val="002A4650"/>
    <w:rsid w:val="002A724A"/>
    <w:rsid w:val="002B1372"/>
    <w:rsid w:val="002C22CB"/>
    <w:rsid w:val="002E5EA9"/>
    <w:rsid w:val="002E6E9C"/>
    <w:rsid w:val="00300DE7"/>
    <w:rsid w:val="00307B4B"/>
    <w:rsid w:val="00317931"/>
    <w:rsid w:val="003213DB"/>
    <w:rsid w:val="00356A38"/>
    <w:rsid w:val="00357D9E"/>
    <w:rsid w:val="00394E9D"/>
    <w:rsid w:val="003B07BB"/>
    <w:rsid w:val="003B22EA"/>
    <w:rsid w:val="003B24A7"/>
    <w:rsid w:val="003B4992"/>
    <w:rsid w:val="003C0F43"/>
    <w:rsid w:val="003D236A"/>
    <w:rsid w:val="003D6914"/>
    <w:rsid w:val="003D7DD1"/>
    <w:rsid w:val="003F1B43"/>
    <w:rsid w:val="003F77B4"/>
    <w:rsid w:val="00417B6A"/>
    <w:rsid w:val="00425BB3"/>
    <w:rsid w:val="00435B4A"/>
    <w:rsid w:val="0045178E"/>
    <w:rsid w:val="00455A4A"/>
    <w:rsid w:val="004724ED"/>
    <w:rsid w:val="00477891"/>
    <w:rsid w:val="004A31C4"/>
    <w:rsid w:val="004A4112"/>
    <w:rsid w:val="004A44B7"/>
    <w:rsid w:val="004C532D"/>
    <w:rsid w:val="004F2535"/>
    <w:rsid w:val="004F4C4D"/>
    <w:rsid w:val="004F68F3"/>
    <w:rsid w:val="00537A8E"/>
    <w:rsid w:val="00560E38"/>
    <w:rsid w:val="005738F9"/>
    <w:rsid w:val="00592F99"/>
    <w:rsid w:val="005B136F"/>
    <w:rsid w:val="005B75DE"/>
    <w:rsid w:val="005C1CAF"/>
    <w:rsid w:val="005E68AB"/>
    <w:rsid w:val="005E6F63"/>
    <w:rsid w:val="006040E1"/>
    <w:rsid w:val="006050B0"/>
    <w:rsid w:val="00613910"/>
    <w:rsid w:val="006256A7"/>
    <w:rsid w:val="006301C1"/>
    <w:rsid w:val="006343D9"/>
    <w:rsid w:val="00657D9F"/>
    <w:rsid w:val="006648D1"/>
    <w:rsid w:val="0067153C"/>
    <w:rsid w:val="00686CDB"/>
    <w:rsid w:val="006901B1"/>
    <w:rsid w:val="006C4220"/>
    <w:rsid w:val="006E0BC7"/>
    <w:rsid w:val="006E5682"/>
    <w:rsid w:val="006F194C"/>
    <w:rsid w:val="006F21F7"/>
    <w:rsid w:val="006F5585"/>
    <w:rsid w:val="007059ED"/>
    <w:rsid w:val="00713DAA"/>
    <w:rsid w:val="0071746D"/>
    <w:rsid w:val="0073331C"/>
    <w:rsid w:val="00756FAC"/>
    <w:rsid w:val="00760582"/>
    <w:rsid w:val="00777B7C"/>
    <w:rsid w:val="00782711"/>
    <w:rsid w:val="00791CE8"/>
    <w:rsid w:val="007933CC"/>
    <w:rsid w:val="007A47D5"/>
    <w:rsid w:val="007A6F78"/>
    <w:rsid w:val="007B089E"/>
    <w:rsid w:val="007D5092"/>
    <w:rsid w:val="007F2C22"/>
    <w:rsid w:val="007F3F27"/>
    <w:rsid w:val="008009EB"/>
    <w:rsid w:val="0080122F"/>
    <w:rsid w:val="00802EBC"/>
    <w:rsid w:val="00820318"/>
    <w:rsid w:val="00847674"/>
    <w:rsid w:val="0085152E"/>
    <w:rsid w:val="00860C63"/>
    <w:rsid w:val="00874E4D"/>
    <w:rsid w:val="008A04C0"/>
    <w:rsid w:val="008B1DE9"/>
    <w:rsid w:val="008C1494"/>
    <w:rsid w:val="008C3322"/>
    <w:rsid w:val="008C54D3"/>
    <w:rsid w:val="008E5F10"/>
    <w:rsid w:val="008F414F"/>
    <w:rsid w:val="0090246A"/>
    <w:rsid w:val="00914750"/>
    <w:rsid w:val="00920C57"/>
    <w:rsid w:val="00935D80"/>
    <w:rsid w:val="0093747F"/>
    <w:rsid w:val="00941DCA"/>
    <w:rsid w:val="009661A4"/>
    <w:rsid w:val="00976083"/>
    <w:rsid w:val="009B21B2"/>
    <w:rsid w:val="009E0772"/>
    <w:rsid w:val="00A105CA"/>
    <w:rsid w:val="00A33DDC"/>
    <w:rsid w:val="00A43872"/>
    <w:rsid w:val="00A441A3"/>
    <w:rsid w:val="00A46752"/>
    <w:rsid w:val="00A5779A"/>
    <w:rsid w:val="00A72ED0"/>
    <w:rsid w:val="00A746AA"/>
    <w:rsid w:val="00A86D32"/>
    <w:rsid w:val="00A94301"/>
    <w:rsid w:val="00A94A38"/>
    <w:rsid w:val="00AC088D"/>
    <w:rsid w:val="00AC6818"/>
    <w:rsid w:val="00AC72EC"/>
    <w:rsid w:val="00AD2A39"/>
    <w:rsid w:val="00AE14D7"/>
    <w:rsid w:val="00B10783"/>
    <w:rsid w:val="00B21612"/>
    <w:rsid w:val="00B35703"/>
    <w:rsid w:val="00B55F12"/>
    <w:rsid w:val="00B573E6"/>
    <w:rsid w:val="00B63B5B"/>
    <w:rsid w:val="00B64399"/>
    <w:rsid w:val="00B71BB5"/>
    <w:rsid w:val="00B81B89"/>
    <w:rsid w:val="00B81CC4"/>
    <w:rsid w:val="00B863A4"/>
    <w:rsid w:val="00BB1DC2"/>
    <w:rsid w:val="00BC26C8"/>
    <w:rsid w:val="00BC3252"/>
    <w:rsid w:val="00BC534F"/>
    <w:rsid w:val="00BD3C4C"/>
    <w:rsid w:val="00BE0975"/>
    <w:rsid w:val="00BE14F9"/>
    <w:rsid w:val="00BF1B15"/>
    <w:rsid w:val="00BF650B"/>
    <w:rsid w:val="00BF72D8"/>
    <w:rsid w:val="00BF762D"/>
    <w:rsid w:val="00C07A4E"/>
    <w:rsid w:val="00C12875"/>
    <w:rsid w:val="00C13747"/>
    <w:rsid w:val="00C2245A"/>
    <w:rsid w:val="00C24FC2"/>
    <w:rsid w:val="00C26B4D"/>
    <w:rsid w:val="00C41071"/>
    <w:rsid w:val="00C56666"/>
    <w:rsid w:val="00C85D4B"/>
    <w:rsid w:val="00C86F8F"/>
    <w:rsid w:val="00CB086C"/>
    <w:rsid w:val="00CD0571"/>
    <w:rsid w:val="00CD756F"/>
    <w:rsid w:val="00CE2A0B"/>
    <w:rsid w:val="00CF5C21"/>
    <w:rsid w:val="00D30A79"/>
    <w:rsid w:val="00D439AD"/>
    <w:rsid w:val="00D4779E"/>
    <w:rsid w:val="00D53126"/>
    <w:rsid w:val="00D54617"/>
    <w:rsid w:val="00D71A84"/>
    <w:rsid w:val="00D86219"/>
    <w:rsid w:val="00D86DA0"/>
    <w:rsid w:val="00D96A83"/>
    <w:rsid w:val="00D9749B"/>
    <w:rsid w:val="00DA7587"/>
    <w:rsid w:val="00DB6201"/>
    <w:rsid w:val="00DB6C3D"/>
    <w:rsid w:val="00DC01BC"/>
    <w:rsid w:val="00DD54EB"/>
    <w:rsid w:val="00DE1962"/>
    <w:rsid w:val="00DE5347"/>
    <w:rsid w:val="00DF0DC3"/>
    <w:rsid w:val="00DF5385"/>
    <w:rsid w:val="00E00EC4"/>
    <w:rsid w:val="00E0366E"/>
    <w:rsid w:val="00E04534"/>
    <w:rsid w:val="00E0783F"/>
    <w:rsid w:val="00E10942"/>
    <w:rsid w:val="00E36DED"/>
    <w:rsid w:val="00E526DB"/>
    <w:rsid w:val="00E549A3"/>
    <w:rsid w:val="00E637A5"/>
    <w:rsid w:val="00E6659A"/>
    <w:rsid w:val="00EA58C4"/>
    <w:rsid w:val="00EC159E"/>
    <w:rsid w:val="00ED7B93"/>
    <w:rsid w:val="00EE2EB8"/>
    <w:rsid w:val="00F045B3"/>
    <w:rsid w:val="00F272F6"/>
    <w:rsid w:val="00F3146D"/>
    <w:rsid w:val="00F31951"/>
    <w:rsid w:val="00F522E1"/>
    <w:rsid w:val="00F63BD7"/>
    <w:rsid w:val="00F64D1A"/>
    <w:rsid w:val="00F70526"/>
    <w:rsid w:val="00F728E4"/>
    <w:rsid w:val="00F90B98"/>
    <w:rsid w:val="00F9152D"/>
    <w:rsid w:val="00FA4E9E"/>
    <w:rsid w:val="00FC444C"/>
    <w:rsid w:val="00FC7D83"/>
    <w:rsid w:val="00FD3A58"/>
    <w:rsid w:val="00FE5B4A"/>
    <w:rsid w:val="00FE6267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3D742B-8401-4CA7-A0FF-4398FB3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12875"/>
    <w:pPr>
      <w:spacing w:after="120" w:line="240" w:lineRule="auto"/>
    </w:pPr>
    <w:rPr>
      <w:rFonts w:ascii="Calibri" w:hAnsi="Calibri" w:cs="Times New Roman"/>
      <w:szCs w:val="20"/>
      <w:lang w:val="nl-NL" w:eastAsia="nl-NL"/>
    </w:rPr>
  </w:style>
  <w:style w:type="paragraph" w:styleId="Kop1">
    <w:name w:val="heading 1"/>
    <w:aliases w:val="Objet"/>
    <w:basedOn w:val="Standaard"/>
    <w:next w:val="Standaard"/>
    <w:link w:val="Kop1Char"/>
    <w:uiPriority w:val="9"/>
    <w:qFormat/>
    <w:rsid w:val="00756FAC"/>
    <w:pPr>
      <w:keepNext/>
      <w:spacing w:before="240" w:after="240"/>
      <w:outlineLvl w:val="0"/>
    </w:pPr>
    <w:rPr>
      <w:rFonts w:asciiTheme="minorHAnsi" w:eastAsiaTheme="majorEastAsia" w:hAnsiTheme="minorHAnsi" w:cstheme="majorBidi"/>
      <w:b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47580"/>
    <w:pPr>
      <w:keepNext/>
      <w:spacing w:before="240" w:after="240"/>
      <w:outlineLvl w:val="1"/>
    </w:pPr>
    <w:rPr>
      <w:rFonts w:asciiTheme="minorHAnsi" w:eastAsiaTheme="majorEastAsia" w:hAnsiTheme="minorHAnsi" w:cstheme="majorBidi"/>
      <w:b/>
      <w:bCs/>
      <w:iCs/>
      <w:cap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5779A"/>
    <w:pPr>
      <w:keepNext/>
      <w:keepLines/>
      <w:outlineLvl w:val="2"/>
    </w:pPr>
    <w:rPr>
      <w:rFonts w:eastAsiaTheme="majorEastAsia" w:cstheme="majorBidi"/>
      <w:b/>
      <w:caps/>
      <w:color w:val="000000" w:themeColor="text1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12875"/>
    <w:pPr>
      <w:keepNext/>
      <w:keepLines/>
      <w:spacing w:after="60"/>
      <w:outlineLvl w:val="3"/>
    </w:pPr>
    <w:rPr>
      <w:rFonts w:eastAsiaTheme="majorEastAsia" w:cstheme="majorBidi"/>
      <w:iCs/>
      <w:caps/>
      <w:color w:val="000000" w:themeColor="text1"/>
      <w:sz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17B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040E1"/>
    <w:pPr>
      <w:spacing w:before="240" w:after="240"/>
      <w:contextualSpacing/>
    </w:pPr>
    <w:rPr>
      <w:rFonts w:eastAsiaTheme="majorEastAsia" w:cstheme="majorBidi"/>
      <w:b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40E1"/>
    <w:rPr>
      <w:rFonts w:ascii="Calibri" w:eastAsiaTheme="majorEastAsia" w:hAnsi="Calibri" w:cstheme="majorBidi"/>
      <w:b/>
      <w:kern w:val="28"/>
      <w:szCs w:val="56"/>
    </w:rPr>
  </w:style>
  <w:style w:type="character" w:customStyle="1" w:styleId="Kop1Char">
    <w:name w:val="Kop 1 Char"/>
    <w:aliases w:val="Objet Char"/>
    <w:basedOn w:val="Standaardalinea-lettertype"/>
    <w:link w:val="Kop1"/>
    <w:uiPriority w:val="9"/>
    <w:rsid w:val="00756FAC"/>
    <w:rPr>
      <w:rFonts w:eastAsiaTheme="majorEastAsia" w:cstheme="majorBidi"/>
      <w:b/>
      <w:bCs/>
      <w:kern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47580"/>
    <w:rPr>
      <w:rFonts w:eastAsiaTheme="majorEastAsia" w:cstheme="majorBidi"/>
      <w:b/>
      <w:bCs/>
      <w:iCs/>
      <w:caps/>
      <w:sz w:val="28"/>
      <w:szCs w:val="28"/>
      <w:lang w:val="nl-NL" w:eastAsia="nl-NL"/>
    </w:rPr>
  </w:style>
  <w:style w:type="paragraph" w:customStyle="1" w:styleId="Opsomming">
    <w:name w:val="Opsomming"/>
    <w:basedOn w:val="Standaard"/>
    <w:qFormat/>
    <w:rsid w:val="00A5779A"/>
    <w:pPr>
      <w:numPr>
        <w:numId w:val="1"/>
      </w:numPr>
    </w:pPr>
    <w:rPr>
      <w:rFonts w:cs="Calibri"/>
      <w:szCs w:val="24"/>
      <w:lang w:val="fr-FR"/>
    </w:rPr>
  </w:style>
  <w:style w:type="character" w:styleId="Nadruk">
    <w:name w:val="Emphasis"/>
    <w:basedOn w:val="Standaardalinea-lettertype"/>
    <w:uiPriority w:val="20"/>
    <w:qFormat/>
    <w:rsid w:val="007D5092"/>
    <w:rPr>
      <w:rFonts w:ascii="Calibri" w:hAnsi="Calibri"/>
      <w:b w:val="0"/>
      <w:i/>
      <w:iCs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EA58C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EA58C4"/>
    <w:rPr>
      <w:rFonts w:ascii="Calibri" w:hAnsi="Calibri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7B089E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089E"/>
    <w:rPr>
      <w:rFonts w:ascii="Calibri" w:hAnsi="Calibri" w:cs="Times New Roman"/>
      <w:sz w:val="16"/>
      <w:szCs w:val="20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417B6A"/>
    <w:rPr>
      <w:rFonts w:asciiTheme="majorHAnsi" w:eastAsiaTheme="majorEastAsia" w:hAnsiTheme="majorHAnsi" w:cstheme="majorBidi"/>
      <w:color w:val="000000" w:themeColor="text1"/>
      <w:szCs w:val="20"/>
      <w:lang w:val="nl-NL" w:eastAsia="nl-NL"/>
    </w:rPr>
  </w:style>
  <w:style w:type="paragraph" w:styleId="Lijstopsomteken">
    <w:name w:val="List Bullet"/>
    <w:basedOn w:val="Standaard"/>
    <w:uiPriority w:val="99"/>
    <w:semiHidden/>
    <w:unhideWhenUsed/>
    <w:rsid w:val="00EA58C4"/>
    <w:pPr>
      <w:numPr>
        <w:numId w:val="2"/>
      </w:numPr>
      <w:spacing w:after="200" w:line="276" w:lineRule="auto"/>
      <w:contextualSpacing/>
    </w:pPr>
    <w:rPr>
      <w:rFonts w:asciiTheme="minorHAnsi" w:eastAsiaTheme="minorHAnsi" w:hAnsiTheme="minorHAnsi" w:cstheme="minorBidi"/>
      <w:szCs w:val="22"/>
      <w:lang w:val="fr-FR" w:eastAsia="en-US"/>
    </w:rPr>
  </w:style>
  <w:style w:type="paragraph" w:customStyle="1" w:styleId="Referenties">
    <w:name w:val="Referenties"/>
    <w:basedOn w:val="Standaard"/>
    <w:rsid w:val="00BC26C8"/>
    <w:pPr>
      <w:tabs>
        <w:tab w:val="left" w:pos="284"/>
      </w:tabs>
      <w:spacing w:after="0"/>
    </w:pPr>
    <w:rPr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A5779A"/>
    <w:rPr>
      <w:rFonts w:ascii="Calibri" w:eastAsiaTheme="majorEastAsia" w:hAnsi="Calibri" w:cstheme="majorBidi"/>
      <w:b/>
      <w:caps/>
      <w:color w:val="000000" w:themeColor="text1"/>
      <w:sz w:val="24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C12875"/>
    <w:rPr>
      <w:rFonts w:ascii="Calibri" w:eastAsiaTheme="majorEastAsia" w:hAnsi="Calibri" w:cstheme="majorBidi"/>
      <w:iCs/>
      <w:caps/>
      <w:color w:val="000000" w:themeColor="text1"/>
      <w:sz w:val="24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8E5F10"/>
    <w:pPr>
      <w:ind w:left="720"/>
      <w:contextualSpacing/>
    </w:pPr>
  </w:style>
  <w:style w:type="paragraph" w:styleId="Geenafstand">
    <w:name w:val="No Spacing"/>
    <w:uiPriority w:val="1"/>
    <w:qFormat/>
    <w:rsid w:val="00F045B3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D439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BE"/>
    </w:rPr>
  </w:style>
  <w:style w:type="paragraph" w:styleId="Voetnoottekst">
    <w:name w:val="footnote text"/>
    <w:basedOn w:val="Standaard"/>
    <w:link w:val="VoetnoottekstChar"/>
    <w:uiPriority w:val="99"/>
    <w:unhideWhenUsed/>
    <w:rsid w:val="00DB6201"/>
    <w:pPr>
      <w:spacing w:after="0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DB6201"/>
    <w:rPr>
      <w:rFonts w:ascii="Calibri" w:hAnsi="Calibri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qFormat/>
    <w:rsid w:val="00DB6201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B62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6201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55A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5A4A"/>
    <w:rPr>
      <w:rFonts w:ascii="Segoe UI" w:hAnsi="Segoe UI" w:cs="Segoe UI"/>
      <w:sz w:val="18"/>
      <w:szCs w:val="18"/>
      <w:lang w:val="nl-NL"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D71A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71A8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71A84"/>
    <w:rPr>
      <w:rFonts w:ascii="Calibri" w:hAnsi="Calibri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71A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71A84"/>
    <w:rPr>
      <w:rFonts w:ascii="Calibri" w:hAnsi="Calibri" w:cs="Times New Roman"/>
      <w:b/>
      <w:bCs/>
      <w:sz w:val="20"/>
      <w:szCs w:val="20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6666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rsid w:val="002B13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8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45E648CE4C345AB1D758B75255FAC" ma:contentTypeVersion="13" ma:contentTypeDescription="Create a new document." ma:contentTypeScope="" ma:versionID="93d91fce584027fc21ac13f199c03f46">
  <xsd:schema xmlns:xsd="http://www.w3.org/2001/XMLSchema" xmlns:xs="http://www.w3.org/2001/XMLSchema" xmlns:p="http://schemas.microsoft.com/office/2006/metadata/properties" xmlns:ns3="d0d36f1d-b1a9-42bf-ba19-8f0ea651b272" xmlns:ns4="eaa9e59f-b0a0-4177-889c-d8511d9ded0a" targetNamespace="http://schemas.microsoft.com/office/2006/metadata/properties" ma:root="true" ma:fieldsID="e6bdd19e7a61ce1b207458e122f8df61" ns3:_="" ns4:_="">
    <xsd:import namespace="d0d36f1d-b1a9-42bf-ba19-8f0ea651b272"/>
    <xsd:import namespace="eaa9e59f-b0a0-4177-889c-d8511d9ded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36f1d-b1a9-42bf-ba19-8f0ea651b2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9e59f-b0a0-4177-889c-d8511d9de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9B85C-E2E9-4F3E-AD88-AE1B66171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36f1d-b1a9-42bf-ba19-8f0ea651b272"/>
    <ds:schemaRef ds:uri="eaa9e59f-b0a0-4177-889c-d8511d9de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DDA64-AF67-486E-852C-DABF4330447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a9e59f-b0a0-4177-889c-d8511d9ded0a"/>
    <ds:schemaRef ds:uri="http://purl.org/dc/terms/"/>
    <ds:schemaRef ds:uri="http://schemas.openxmlformats.org/package/2006/metadata/core-properties"/>
    <ds:schemaRef ds:uri="d0d36f1d-b1a9-42bf-ba19-8f0ea651b27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E37C45-935C-4BD3-9D3B-DE437F8A5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EB84E-EB49-4890-A6D2-F48D641B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 De Kuyper (Famifed)</dc:creator>
  <cp:keywords/>
  <dc:description/>
  <cp:lastModifiedBy>Amandine Rubio</cp:lastModifiedBy>
  <cp:revision>2</cp:revision>
  <cp:lastPrinted>2021-06-02T11:31:00Z</cp:lastPrinted>
  <dcterms:created xsi:type="dcterms:W3CDTF">2021-06-07T09:54:00Z</dcterms:created>
  <dcterms:modified xsi:type="dcterms:W3CDTF">2021-06-07T09:54:00Z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0x010100D4845E648CE4C345AB1D758B75255FAC</vt:lpwstr>
  </property>
</Properties>
</file>