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0EA7" w14:textId="4F55FD8A" w:rsidR="00355A19" w:rsidRDefault="00894CCC" w:rsidP="00355A19">
      <w:pPr>
        <w:pStyle w:val="Basisalinea"/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BB0FED" wp14:editId="1800D6F6">
                <wp:simplePos x="0" y="0"/>
                <wp:positionH relativeFrom="column">
                  <wp:posOffset>4445</wp:posOffset>
                </wp:positionH>
                <wp:positionV relativeFrom="topMargin">
                  <wp:posOffset>1339850</wp:posOffset>
                </wp:positionV>
                <wp:extent cx="2773680" cy="774065"/>
                <wp:effectExtent l="0" t="0" r="7620" b="6985"/>
                <wp:wrapSquare wrapText="bothSides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9D923" w14:textId="77777777" w:rsidR="00485EAC" w:rsidRPr="004E733A" w:rsidRDefault="00485EAC" w:rsidP="00485EAC">
                            <w:pPr>
                              <w:pStyle w:val="Basisalinea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4E733A">
                              <w:rPr>
                                <w:rFonts w:ascii="Calibri" w:hAnsi="Calibri"/>
                                <w:b/>
                                <w:color w:val="auto"/>
                                <w:sz w:val="22"/>
                                <w:szCs w:val="22"/>
                                <w:lang w:val="fr-BE"/>
                              </w:rPr>
                              <w:t>Service institutions d'aide et de soins</w:t>
                            </w:r>
                          </w:p>
                          <w:p w14:paraId="41282D16" w14:textId="77777777" w:rsidR="00485EAC" w:rsidRPr="00597D03" w:rsidRDefault="00485EAC" w:rsidP="00485EAC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567325" wp14:editId="388C173A">
                                  <wp:extent cx="146685" cy="146685"/>
                                  <wp:effectExtent l="0" t="0" r="5715" b="5715"/>
                                  <wp:docPr id="10" name="Afbeelding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/>
                                  <w:sz w:val="20"/>
                                </w:rPr>
                                <w:t>agrements_erkenningen@iriscare.brussels</w:t>
                              </w:r>
                            </w:hyperlink>
                          </w:p>
                          <w:p w14:paraId="185C35FE" w14:textId="4AF70FE2" w:rsidR="00894CCC" w:rsidRDefault="00894CCC" w:rsidP="008E517A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B0FED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.35pt;margin-top:105.5pt;width:218.4pt;height:6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" fillcolor="white [3201]" stroked="f" strokeweight=".5pt">
                <v:textbox inset="0">
                  <w:txbxContent>
                    <w:p w14:paraId="4889D923" w14:textId="77777777" w:rsidR="00485EAC" w:rsidRPr="004E733A" w:rsidRDefault="00485EAC" w:rsidP="00485EAC">
                      <w:pPr>
                        <w:pStyle w:val="Basisalinea"/>
                        <w:rPr>
                          <w:rFonts w:ascii="Calibri" w:eastAsia="Times New Roman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fr-BE"/>
                        </w:rPr>
                      </w:pPr>
                      <w:r w:rsidRPr="004E733A">
                        <w:rPr>
                          <w:rFonts w:ascii="Calibri" w:hAnsi="Calibri"/>
                          <w:b/>
                          <w:color w:val="auto"/>
                          <w:sz w:val="22"/>
                          <w:szCs w:val="22"/>
                          <w:lang w:val="fr-BE"/>
                        </w:rPr>
                        <w:t>Service institutions d'aide et de soins</w:t>
                      </w:r>
                    </w:p>
                    <w:p w14:paraId="41282D16" w14:textId="77777777" w:rsidR="00485EAC" w:rsidRPr="00597D03" w:rsidRDefault="00485EAC" w:rsidP="00485EAC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567325" wp14:editId="388C173A">
                            <wp:extent cx="146685" cy="146685"/>
                            <wp:effectExtent l="0" t="0" r="5715" b="5715"/>
                            <wp:docPr id="10" name="Afbeelding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  <w:hyperlink r:id="rId11" w:history="1">
                        <w:r>
                          <w:rPr>
                            <w:rStyle w:val="Hyperlink"/>
                            <w:rFonts w:ascii="Calibri" w:hAnsi="Calibri"/>
                            <w:sz w:val="20"/>
                          </w:rPr>
                          <w:t>agrements_erkenningen@iriscare.brussels</w:t>
                        </w:r>
                      </w:hyperlink>
                    </w:p>
                    <w:p w14:paraId="185C35FE" w14:textId="4AF70FE2" w:rsidR="00894CCC" w:rsidRDefault="00894CCC" w:rsidP="008E517A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="Calibri" w:hAnsi="Calibri" w:cs="Calibri"/>
                          <w:sz w:val="20"/>
                          <w:szCs w:val="20"/>
                          <w:lang w:val="fr-BE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2EEF89" w14:textId="77777777" w:rsidR="00355A19" w:rsidRDefault="00355A19" w:rsidP="00355A19">
      <w:pPr>
        <w:pStyle w:val="Basisalinea"/>
        <w:rPr>
          <w:rFonts w:ascii="Calibri" w:hAnsi="Calibri" w:cs="Calibri"/>
          <w:b/>
          <w:bCs/>
          <w:lang w:val="fr-FR"/>
        </w:rPr>
      </w:pPr>
    </w:p>
    <w:p w14:paraId="3BA856ED" w14:textId="77777777" w:rsidR="00355A19" w:rsidRPr="00314DBA" w:rsidRDefault="00355A19" w:rsidP="00355A19">
      <w:pPr>
        <w:pStyle w:val="Basisalinea"/>
        <w:spacing w:line="240" w:lineRule="auto"/>
        <w:rPr>
          <w:rFonts w:ascii="Calibri" w:hAnsi="Calibri" w:cs="Calibri"/>
          <w:b/>
          <w:bCs/>
          <w:lang w:val="fr-FR"/>
        </w:rPr>
      </w:pPr>
    </w:p>
    <w:p w14:paraId="441B9B30" w14:textId="77777777" w:rsidR="00355A19" w:rsidRPr="00314DBA" w:rsidRDefault="00355A19" w:rsidP="00355A19">
      <w:pPr>
        <w:pStyle w:val="Basisalinea"/>
        <w:spacing w:line="240" w:lineRule="auto"/>
        <w:rPr>
          <w:rFonts w:ascii="Calibri" w:hAnsi="Calibri" w:cs="Calibri"/>
          <w:b/>
          <w:bCs/>
          <w:lang w:val="fr-FR"/>
        </w:rPr>
      </w:pPr>
    </w:p>
    <w:p w14:paraId="721D5926" w14:textId="77777777" w:rsidR="00355A19" w:rsidRPr="00314DBA" w:rsidRDefault="00355A19" w:rsidP="00355A19">
      <w:pPr>
        <w:pStyle w:val="Basisalinea"/>
        <w:spacing w:line="240" w:lineRule="auto"/>
        <w:rPr>
          <w:rFonts w:ascii="Calibri" w:hAnsi="Calibri" w:cs="Calibri"/>
          <w:b/>
          <w:bCs/>
          <w:lang w:val="fr-FR"/>
        </w:rPr>
      </w:pPr>
    </w:p>
    <w:p w14:paraId="6AF20967" w14:textId="77777777" w:rsidR="00355A19" w:rsidRDefault="00355A19" w:rsidP="00355A19">
      <w:pPr>
        <w:pStyle w:val="Basisalinea"/>
        <w:spacing w:line="240" w:lineRule="auto"/>
        <w:jc w:val="right"/>
        <w:rPr>
          <w:rFonts w:ascii="Calibri" w:hAnsi="Calibri" w:cs="Calibri"/>
          <w:bCs/>
          <w:lang w:val="fr-FR"/>
        </w:rPr>
      </w:pPr>
    </w:p>
    <w:p w14:paraId="383507F5" w14:textId="2AC1F8BA" w:rsidR="006A0D8D" w:rsidRPr="004E733A" w:rsidRDefault="006A0D8D" w:rsidP="00D17407">
      <w:pPr>
        <w:spacing w:line="240" w:lineRule="auto"/>
        <w:rPr>
          <w:b/>
        </w:rPr>
      </w:pPr>
      <w:r w:rsidRPr="004E733A">
        <w:rPr>
          <w:b/>
        </w:rPr>
        <w:t xml:space="preserve">Concerne : </w:t>
      </w:r>
      <w:r w:rsidRPr="004E733A">
        <w:rPr>
          <w:b/>
        </w:rPr>
        <w:tab/>
      </w:r>
      <w:r w:rsidR="00713D66" w:rsidRPr="004E733A">
        <w:rPr>
          <w:b/>
        </w:rPr>
        <w:t>Demande de dérogations aux normes architecturales</w:t>
      </w:r>
      <w:r w:rsidR="00EB771F" w:rsidRPr="004E733A">
        <w:t xml:space="preserve"> </w:t>
      </w:r>
      <w:r w:rsidR="00EB771F" w:rsidRPr="004E733A">
        <w:rPr>
          <w:b/>
        </w:rPr>
        <w:t>des établissements pour aînés</w:t>
      </w:r>
    </w:p>
    <w:p w14:paraId="49B2F0E7" w14:textId="77777777" w:rsidR="006A0D8D" w:rsidRPr="006C3539" w:rsidRDefault="006A0D8D" w:rsidP="006A0D8D">
      <w:pPr>
        <w:spacing w:after="0"/>
        <w:jc w:val="both"/>
        <w:rPr>
          <w:rFonts w:cs="Calibri"/>
        </w:rPr>
      </w:pPr>
    </w:p>
    <w:p w14:paraId="70D0A009" w14:textId="77777777" w:rsidR="006A0D8D" w:rsidRDefault="006A0D8D" w:rsidP="006A0D8D">
      <w:pPr>
        <w:shd w:val="clear" w:color="auto" w:fill="FFFFFF"/>
      </w:pPr>
      <w:r>
        <w:t>Je soussigné(e) :</w:t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>[NOM, prénom gestionnaire]</w:t>
      </w:r>
    </w:p>
    <w:p w14:paraId="0E987C79" w14:textId="3B996CF7" w:rsidR="006A0D8D" w:rsidRPr="00732D49" w:rsidRDefault="006A0D8D" w:rsidP="006A0D8D">
      <w:pPr>
        <w:shd w:val="clear" w:color="auto" w:fill="FFFFFF"/>
        <w:rPr>
          <w:rFonts w:cs="Calibri"/>
        </w:rPr>
      </w:pPr>
      <w:r>
        <w:t>Siège</w:t>
      </w:r>
      <w:r w:rsidR="004E733A">
        <w:t xml:space="preserve"> 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>[Adresse]</w:t>
      </w:r>
    </w:p>
    <w:p w14:paraId="0AEBE389" w14:textId="77777777" w:rsidR="006A0D8D" w:rsidRPr="00732D49" w:rsidRDefault="006A0D8D" w:rsidP="006A0D8D">
      <w:pPr>
        <w:shd w:val="clear" w:color="auto" w:fill="FFFFFF"/>
        <w:rPr>
          <w:rFonts w:cs="Calibri"/>
        </w:rPr>
      </w:pPr>
      <w:r>
        <w:t>Intervenant en tant que gestionnaire de :</w:t>
      </w:r>
      <w:r>
        <w:tab/>
      </w:r>
      <w:r>
        <w:rPr>
          <w:highlight w:val="yellow"/>
        </w:rPr>
        <w:t>[Dénomination maison de repos]</w:t>
      </w:r>
    </w:p>
    <w:p w14:paraId="1684AD61" w14:textId="76FE363A" w:rsidR="006A0D8D" w:rsidRDefault="006A0D8D" w:rsidP="006A0D8D">
      <w:pPr>
        <w:shd w:val="clear" w:color="auto" w:fill="FFFFFF"/>
        <w:rPr>
          <w:rFonts w:cs="Calibri"/>
        </w:rPr>
      </w:pPr>
      <w:r>
        <w:t>Adresse</w:t>
      </w:r>
      <w:r w:rsidR="001C4258">
        <w:t xml:space="preserve"> 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>[Adresse]</w:t>
      </w:r>
    </w:p>
    <w:p w14:paraId="7AFC14F6" w14:textId="3FC21E25" w:rsidR="006A0D8D" w:rsidRPr="00732D49" w:rsidRDefault="006A0D8D" w:rsidP="006A0D8D">
      <w:pPr>
        <w:shd w:val="clear" w:color="auto" w:fill="FFFFFF"/>
        <w:rPr>
          <w:rFonts w:cs="Calibri"/>
        </w:rPr>
      </w:pPr>
      <w:r>
        <w:t xml:space="preserve">N° INAMI </w:t>
      </w:r>
      <w:r w:rsidR="001C4258">
        <w:t xml:space="preserve">éventuel </w:t>
      </w:r>
      <w:r>
        <w:t>:</w:t>
      </w:r>
      <w:r>
        <w:tab/>
      </w:r>
      <w:r>
        <w:tab/>
      </w:r>
      <w:r>
        <w:tab/>
      </w:r>
      <w:r w:rsidR="00877031">
        <w:tab/>
      </w:r>
      <w:r w:rsidR="001C4258">
        <w:t>[</w:t>
      </w:r>
      <w:r w:rsidR="00877031" w:rsidRPr="00877031">
        <w:rPr>
          <w:highlight w:val="yellow"/>
        </w:rPr>
        <w:t>N° INAMI</w:t>
      </w:r>
      <w:r w:rsidR="001C4258">
        <w:t>]</w:t>
      </w:r>
    </w:p>
    <w:p w14:paraId="33BD2072" w14:textId="184C1AD1" w:rsidR="006A0D8D" w:rsidRDefault="006A0D8D" w:rsidP="006A0D8D">
      <w:pPr>
        <w:spacing w:after="0"/>
        <w:jc w:val="both"/>
        <w:rPr>
          <w:rFonts w:cs="Calibri"/>
        </w:rPr>
      </w:pPr>
    </w:p>
    <w:p w14:paraId="3AAD772D" w14:textId="1445BFA2" w:rsidR="002A0A1C" w:rsidRPr="00B83500" w:rsidRDefault="00B83500" w:rsidP="00CC0FB0">
      <w:pPr>
        <w:autoSpaceDE w:val="0"/>
        <w:autoSpaceDN w:val="0"/>
        <w:adjustRightInd w:val="0"/>
        <w:spacing w:after="0" w:line="240" w:lineRule="auto"/>
      </w:pPr>
      <w:r>
        <w:t xml:space="preserve">J'introduis une demande </w:t>
      </w:r>
      <w:r w:rsidR="00CC0FB0">
        <w:t xml:space="preserve">de dérogation à une ou plusieurs normes architecturales, en application de l'article 303, § 1, </w:t>
      </w:r>
      <w:r w:rsidR="003A1A2F">
        <w:t>de l'arrêté</w:t>
      </w:r>
      <w:r w:rsidRPr="00B83500">
        <w:t xml:space="preserve"> du Collège réuni de la Commission communautaire commune </w:t>
      </w:r>
      <w:r w:rsidR="00CC0FB0">
        <w:t xml:space="preserve">du </w:t>
      </w:r>
      <w:r w:rsidR="001764BF">
        <w:t>1</w:t>
      </w:r>
      <w:r w:rsidR="00CC0FB0">
        <w:t xml:space="preserve">8 janvier 2024 </w:t>
      </w:r>
      <w:r w:rsidRPr="00B83500">
        <w:t>fixant les normes</w:t>
      </w:r>
      <w:r w:rsidR="00CC0FB0">
        <w:t xml:space="preserve"> </w:t>
      </w:r>
      <w:r w:rsidRPr="00B83500">
        <w:t>d'agrément auxquelles doivent répondre les établissements pour aînés, et les normes spéciales applicables aux</w:t>
      </w:r>
      <w:r w:rsidR="00CC0FB0">
        <w:t xml:space="preserve"> </w:t>
      </w:r>
      <w:r w:rsidRPr="00B83500">
        <w:t>groupements et fusions d'établissements</w:t>
      </w:r>
      <w:r w:rsidR="001C4258">
        <w:t>.</w:t>
      </w:r>
    </w:p>
    <w:p w14:paraId="00B50B36" w14:textId="2F765F56" w:rsidR="00713D66" w:rsidRDefault="00713D66" w:rsidP="006A0D8D">
      <w:pPr>
        <w:spacing w:after="0"/>
        <w:jc w:val="both"/>
        <w:rPr>
          <w:rFonts w:cs="Calibri"/>
        </w:rPr>
      </w:pPr>
    </w:p>
    <w:p w14:paraId="6B3422EF" w14:textId="77777777" w:rsidR="00CC0FB0" w:rsidRDefault="00CC0FB0" w:rsidP="006A0D8D">
      <w:pPr>
        <w:spacing w:after="0"/>
        <w:jc w:val="both"/>
        <w:rPr>
          <w:rFonts w:cs="Calibri"/>
        </w:rPr>
      </w:pPr>
    </w:p>
    <w:p w14:paraId="63B234A6" w14:textId="1522A694" w:rsidR="00B02979" w:rsidRDefault="00CC0FB0" w:rsidP="00B0297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Manuel</w:t>
      </w:r>
    </w:p>
    <w:p w14:paraId="6D5D4258" w14:textId="4E65141D" w:rsidR="00CC0FB0" w:rsidRDefault="00CC0FB0" w:rsidP="00B02979">
      <w:pPr>
        <w:jc w:val="both"/>
      </w:pPr>
      <w:r w:rsidRPr="00B83500">
        <w:t>Vous trouverez ci-dessous un tableau avec toutes les normes architecturales pour lesquelles une dérogation peut être demandée. Suivez les étapes ci-dessous pour compléter le tableau et le reste du document</w:t>
      </w:r>
      <w:r>
        <w:t>.</w:t>
      </w:r>
    </w:p>
    <w:p w14:paraId="16C18DE8" w14:textId="2BA7CDEE" w:rsidR="00CC0FB0" w:rsidRDefault="00CC0FB0" w:rsidP="002A0B8D">
      <w:pPr>
        <w:pStyle w:val="Lijstalinea"/>
        <w:numPr>
          <w:ilvl w:val="0"/>
          <w:numId w:val="23"/>
        </w:numPr>
        <w:jc w:val="both"/>
      </w:pPr>
      <w:r w:rsidRPr="002A0B8D">
        <w:t>Supprimez toutes les lignes des articles du tableau pour lesquel</w:t>
      </w:r>
      <w:r w:rsidR="001C4258">
        <w:t>le</w:t>
      </w:r>
      <w:r w:rsidRPr="002A0B8D">
        <w:t>s aucune dérogation n'est demandée.</w:t>
      </w:r>
    </w:p>
    <w:p w14:paraId="5F93F0DC" w14:textId="77777777" w:rsidR="00F941F7" w:rsidRPr="002A0B8D" w:rsidRDefault="00F941F7" w:rsidP="00F941F7">
      <w:pPr>
        <w:pStyle w:val="Lijstalinea"/>
        <w:jc w:val="both"/>
      </w:pPr>
    </w:p>
    <w:p w14:paraId="7C1D3FEA" w14:textId="498C1A1D" w:rsidR="00CC0FB0" w:rsidRDefault="00CC0FB0" w:rsidP="002A0B8D">
      <w:pPr>
        <w:pStyle w:val="Lijstalinea"/>
        <w:numPr>
          <w:ilvl w:val="0"/>
          <w:numId w:val="23"/>
        </w:numPr>
        <w:jc w:val="both"/>
      </w:pPr>
      <w:r w:rsidRPr="002A0B8D">
        <w:t>Décrivez dans la 4ème colonne en quoi la situation actuelle déroge de la norme pour laquelle une dérogation est demandée.</w:t>
      </w:r>
    </w:p>
    <w:p w14:paraId="1ED29D7C" w14:textId="77777777" w:rsidR="00F941F7" w:rsidRPr="002A0B8D" w:rsidRDefault="00F941F7" w:rsidP="00F941F7">
      <w:pPr>
        <w:pStyle w:val="Lijstalinea"/>
        <w:jc w:val="both"/>
      </w:pPr>
    </w:p>
    <w:p w14:paraId="71C90894" w14:textId="784F245A" w:rsidR="00CC0FB0" w:rsidRPr="00F941F7" w:rsidRDefault="00CC0FB0" w:rsidP="002A0B8D">
      <w:pPr>
        <w:pStyle w:val="Lijstalinea"/>
        <w:numPr>
          <w:ilvl w:val="0"/>
          <w:numId w:val="23"/>
        </w:numPr>
        <w:jc w:val="both"/>
        <w:rPr>
          <w:b/>
          <w:bCs/>
          <w:u w:val="single"/>
        </w:rPr>
      </w:pPr>
      <w:r w:rsidRPr="002A0B8D">
        <w:t>Dans la 5</w:t>
      </w:r>
      <w:r w:rsidR="001C4258">
        <w:t>ème</w:t>
      </w:r>
      <w:r w:rsidRPr="002A0B8D">
        <w:t xml:space="preserve"> colonne, expliquez pourquoi une dérogation devrait être accordée. Attention, l'arrêté précité du </w:t>
      </w:r>
      <w:r w:rsidR="001764BF">
        <w:t>1</w:t>
      </w:r>
      <w:r w:rsidRPr="002A0B8D">
        <w:t xml:space="preserve">8 janvier 2024 ne prévoit que </w:t>
      </w:r>
      <w:r w:rsidRPr="00D17407">
        <w:t>3 motifs possibles</w:t>
      </w:r>
      <w:r w:rsidRPr="002A0B8D">
        <w:t xml:space="preserve"> pour accorder une dérogation</w:t>
      </w:r>
      <w:r w:rsidR="001C4258">
        <w:t xml:space="preserve"> </w:t>
      </w:r>
      <w:r w:rsidR="002A0B8D" w:rsidRPr="002A0B8D">
        <w:t>:</w:t>
      </w:r>
    </w:p>
    <w:p w14:paraId="0F328F67" w14:textId="77777777" w:rsidR="00F941F7" w:rsidRPr="002A0B8D" w:rsidRDefault="00F941F7" w:rsidP="00F941F7">
      <w:pPr>
        <w:pStyle w:val="Lijstalinea"/>
        <w:jc w:val="both"/>
        <w:rPr>
          <w:b/>
          <w:bCs/>
          <w:u w:val="single"/>
        </w:rPr>
      </w:pPr>
    </w:p>
    <w:p w14:paraId="412B94E7" w14:textId="426B0DF3" w:rsidR="00B02979" w:rsidRDefault="001C4258" w:rsidP="00D17407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>
        <w:t>L</w:t>
      </w:r>
      <w:r w:rsidR="00B02979" w:rsidRPr="00CC0FB0">
        <w:t xml:space="preserve">'exigence d'une </w:t>
      </w:r>
      <w:r w:rsidR="00B02979" w:rsidRPr="00D17407">
        <w:t>contrainte urbanistique</w:t>
      </w:r>
      <w:r w:rsidR="00B02979" w:rsidRPr="00CC0FB0">
        <w:t xml:space="preserve"> dûment démontrée à propos du bâtiment dans lequel se situe l'établissement</w:t>
      </w:r>
      <w:r w:rsidR="001764BF">
        <w:t xml:space="preserve"> </w:t>
      </w:r>
      <w:r w:rsidR="00D17407">
        <w:t>;</w:t>
      </w:r>
    </w:p>
    <w:p w14:paraId="107D8CBF" w14:textId="77777777" w:rsidR="00A2707B" w:rsidRPr="00CC0FB0" w:rsidRDefault="00A2707B" w:rsidP="00D17407">
      <w:pPr>
        <w:pStyle w:val="Lijstalinea"/>
        <w:autoSpaceDE w:val="0"/>
        <w:autoSpaceDN w:val="0"/>
        <w:adjustRightInd w:val="0"/>
        <w:spacing w:after="0" w:line="240" w:lineRule="auto"/>
        <w:ind w:left="1443"/>
      </w:pPr>
    </w:p>
    <w:p w14:paraId="4CE05861" w14:textId="1A9ED365" w:rsidR="00F941F7" w:rsidRDefault="001764BF" w:rsidP="00D17407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>
        <w:t>l</w:t>
      </w:r>
      <w:r w:rsidR="00B02979" w:rsidRPr="00CC0FB0">
        <w:t>'incompatibilité entre l</w:t>
      </w:r>
      <w:r w:rsidR="00693EAE" w:rsidRPr="00CC0FB0">
        <w:t xml:space="preserve">a norme </w:t>
      </w:r>
      <w:r w:rsidR="00B02979" w:rsidRPr="00CC0FB0">
        <w:t>et l'existence, dans le bâtiment dans lequel se</w:t>
      </w:r>
      <w:r w:rsidR="00693EAE" w:rsidRPr="00CC0FB0">
        <w:t xml:space="preserve"> </w:t>
      </w:r>
      <w:r w:rsidR="00B02979" w:rsidRPr="00CC0FB0">
        <w:t xml:space="preserve">situe l'établissement, </w:t>
      </w:r>
      <w:r w:rsidR="00B02979" w:rsidRPr="00D17407">
        <w:t>d'éléments structurels</w:t>
      </w:r>
      <w:r w:rsidR="00B02979" w:rsidRPr="00CC0FB0">
        <w:t xml:space="preserve"> qui ne peuvent être déplacés</w:t>
      </w:r>
      <w:r w:rsidR="00213F71">
        <w:t xml:space="preserve"> </w:t>
      </w:r>
      <w:r w:rsidR="00D17407">
        <w:t>;</w:t>
      </w:r>
    </w:p>
    <w:p w14:paraId="7F64A14A" w14:textId="77777777" w:rsidR="00F941F7" w:rsidRDefault="00F941F7">
      <w:r>
        <w:br w:type="page"/>
      </w:r>
    </w:p>
    <w:p w14:paraId="159EB985" w14:textId="77777777" w:rsidR="00B02979" w:rsidRDefault="00B02979" w:rsidP="00F941F7">
      <w:pPr>
        <w:pStyle w:val="Lijstalinea"/>
        <w:autoSpaceDE w:val="0"/>
        <w:autoSpaceDN w:val="0"/>
        <w:adjustRightInd w:val="0"/>
        <w:spacing w:after="0" w:line="240" w:lineRule="auto"/>
        <w:ind w:left="1443"/>
      </w:pPr>
    </w:p>
    <w:p w14:paraId="78BA636F" w14:textId="77777777" w:rsidR="00A2707B" w:rsidRPr="00CC0FB0" w:rsidRDefault="00A2707B" w:rsidP="00D17407">
      <w:pPr>
        <w:pStyle w:val="Lijstalinea"/>
        <w:autoSpaceDE w:val="0"/>
        <w:autoSpaceDN w:val="0"/>
        <w:adjustRightInd w:val="0"/>
        <w:spacing w:after="0" w:line="240" w:lineRule="auto"/>
        <w:ind w:left="1443"/>
      </w:pPr>
    </w:p>
    <w:p w14:paraId="5B175C36" w14:textId="5A208782" w:rsidR="00A2707B" w:rsidRDefault="001C4258" w:rsidP="001C4258">
      <w:pPr>
        <w:pStyle w:val="Lijstalinea"/>
        <w:autoSpaceDE w:val="0"/>
        <w:autoSpaceDN w:val="0"/>
        <w:adjustRightInd w:val="0"/>
        <w:spacing w:after="0" w:line="240" w:lineRule="auto"/>
        <w:ind w:left="1083"/>
      </w:pPr>
      <w:r>
        <w:t xml:space="preserve">c. </w:t>
      </w:r>
      <w:r w:rsidR="00A2707B">
        <w:t xml:space="preserve"> </w:t>
      </w:r>
      <w:r w:rsidR="001764BF">
        <w:t>l</w:t>
      </w:r>
      <w:r w:rsidR="00B02979" w:rsidRPr="00CC0FB0">
        <w:t xml:space="preserve">a démonstration par le gestionnaire que l'objectif poursuivi par la norme architecturale concernée est </w:t>
      </w:r>
      <w:r w:rsidR="00B02979" w:rsidRPr="00D17407">
        <w:t>atteint par un autre moyen</w:t>
      </w:r>
      <w:r w:rsidR="00B02979" w:rsidRPr="00CC0FB0">
        <w:t xml:space="preserve"> que celui prévu par la norme.</w:t>
      </w:r>
    </w:p>
    <w:p w14:paraId="0C9D8E8B" w14:textId="77777777" w:rsidR="00F941F7" w:rsidRDefault="00F941F7" w:rsidP="00F941F7"/>
    <w:p w14:paraId="18376005" w14:textId="2AA84F26" w:rsidR="00A2707B" w:rsidRDefault="00314DBA" w:rsidP="00F941F7">
      <w:pPr>
        <w:pStyle w:val="Lijstalinea"/>
        <w:numPr>
          <w:ilvl w:val="0"/>
          <w:numId w:val="23"/>
        </w:numPr>
      </w:pPr>
      <w:r w:rsidRPr="00A2707B">
        <w:t>Ajoutez les pièces jointes qui appuient la demande et répertoriez-les à la fin de ce document. Il peut s'agir par exemple de plans, de photos, de tableaux indiquant les su</w:t>
      </w:r>
      <w:r w:rsidR="00A2707B" w:rsidRPr="00A2707B">
        <w:t>rfaces</w:t>
      </w:r>
      <w:r w:rsidRPr="00A2707B">
        <w:t>, d'études techniques, de lettres, de courriels et de documents officiels provenant d'autres autorités.</w:t>
      </w:r>
    </w:p>
    <w:p w14:paraId="15F13BE0" w14:textId="77777777" w:rsidR="00F941F7" w:rsidRDefault="00F941F7" w:rsidP="00F941F7">
      <w:pPr>
        <w:pStyle w:val="Lijstalinea"/>
      </w:pPr>
    </w:p>
    <w:p w14:paraId="5743D937" w14:textId="6292B666" w:rsidR="00A2707B" w:rsidRDefault="00A2707B" w:rsidP="00A2707B">
      <w:pPr>
        <w:pStyle w:val="Lijstalinea"/>
        <w:numPr>
          <w:ilvl w:val="0"/>
          <w:numId w:val="23"/>
        </w:numPr>
        <w:spacing w:after="0" w:line="336" w:lineRule="auto"/>
        <w:jc w:val="both"/>
      </w:pPr>
      <w:r w:rsidRPr="00A2707B">
        <w:t>Sur la dernière page, datez et signez le document.</w:t>
      </w:r>
    </w:p>
    <w:p w14:paraId="316C3F79" w14:textId="77777777" w:rsidR="00F941F7" w:rsidRDefault="00F941F7" w:rsidP="00F941F7">
      <w:pPr>
        <w:spacing w:after="0" w:line="336" w:lineRule="auto"/>
        <w:jc w:val="both"/>
      </w:pPr>
    </w:p>
    <w:p w14:paraId="174727CF" w14:textId="639E9EED" w:rsidR="002A0B8D" w:rsidRPr="00A2707B" w:rsidRDefault="002A0B8D" w:rsidP="00A2707B">
      <w:pPr>
        <w:pStyle w:val="Lijstalinea"/>
        <w:numPr>
          <w:ilvl w:val="0"/>
          <w:numId w:val="23"/>
        </w:numPr>
        <w:spacing w:after="0" w:line="336" w:lineRule="auto"/>
        <w:jc w:val="both"/>
      </w:pPr>
      <w:r w:rsidRPr="00A2707B">
        <w:t xml:space="preserve">Envoyez le document et ses annexes à </w:t>
      </w:r>
      <w:hyperlink r:id="rId12" w:history="1">
        <w:r w:rsidRPr="00A2707B">
          <w:rPr>
            <w:rStyle w:val="Hyperlink"/>
          </w:rPr>
          <w:t>agrements_erkenningen@iriscare.brussels</w:t>
        </w:r>
      </w:hyperlink>
      <w:r w:rsidRPr="00A2707B">
        <w:t xml:space="preserve">. </w:t>
      </w:r>
    </w:p>
    <w:p w14:paraId="4F36B161" w14:textId="1792FF75" w:rsidR="00694A41" w:rsidRDefault="00694A41">
      <w:pPr>
        <w:rPr>
          <w:rFonts w:cs="Calibri"/>
        </w:rPr>
      </w:pPr>
      <w:r>
        <w:rPr>
          <w:rFonts w:cs="Calibri"/>
        </w:rPr>
        <w:br w:type="page"/>
      </w:r>
    </w:p>
    <w:p w14:paraId="7D5EF874" w14:textId="77777777" w:rsidR="00713D66" w:rsidRDefault="00713D66" w:rsidP="006A0D8D">
      <w:pPr>
        <w:spacing w:after="0"/>
        <w:jc w:val="both"/>
        <w:rPr>
          <w:rFonts w:cs="Calibri"/>
        </w:rPr>
      </w:pPr>
    </w:p>
    <w:p w14:paraId="30C215D4" w14:textId="77777777" w:rsidR="002A0B8D" w:rsidRPr="00B02979" w:rsidRDefault="002A0B8D" w:rsidP="006A0D8D">
      <w:pPr>
        <w:spacing w:after="0"/>
        <w:jc w:val="both"/>
        <w:rPr>
          <w:rFonts w:cs="Calibri"/>
        </w:rPr>
      </w:pPr>
    </w:p>
    <w:p w14:paraId="2755754D" w14:textId="1481CABE" w:rsidR="00713D66" w:rsidRPr="00B02979" w:rsidRDefault="00713D66" w:rsidP="006A0D8D">
      <w:pPr>
        <w:spacing w:after="0"/>
        <w:jc w:val="both"/>
        <w:rPr>
          <w:rFonts w:cs="Calibri"/>
        </w:rPr>
      </w:pPr>
    </w:p>
    <w:tbl>
      <w:tblPr>
        <w:tblStyle w:val="Tabelrasterlicht"/>
        <w:tblW w:w="9776" w:type="dxa"/>
        <w:tblLook w:val="04A0" w:firstRow="1" w:lastRow="0" w:firstColumn="1" w:lastColumn="0" w:noHBand="0" w:noVBand="1"/>
      </w:tblPr>
      <w:tblGrid>
        <w:gridCol w:w="846"/>
        <w:gridCol w:w="1713"/>
        <w:gridCol w:w="2264"/>
        <w:gridCol w:w="2402"/>
        <w:gridCol w:w="2551"/>
      </w:tblGrid>
      <w:tr w:rsidR="00713D66" w:rsidRPr="00D17407" w14:paraId="1C752EE3" w14:textId="77777777" w:rsidTr="00693EAE">
        <w:tc>
          <w:tcPr>
            <w:tcW w:w="846" w:type="dxa"/>
          </w:tcPr>
          <w:p w14:paraId="375EB968" w14:textId="0B220D13" w:rsidR="00713D66" w:rsidRPr="00D17407" w:rsidRDefault="00713D66" w:rsidP="00F95554">
            <w:pP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D1740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Article </w:t>
            </w:r>
          </w:p>
        </w:tc>
        <w:tc>
          <w:tcPr>
            <w:tcW w:w="1713" w:type="dxa"/>
          </w:tcPr>
          <w:p w14:paraId="47FB981B" w14:textId="3428FC19" w:rsidR="00713D66" w:rsidRPr="00D17407" w:rsidRDefault="00A2707B" w:rsidP="00F95554">
            <w:pP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D17407">
              <w:rPr>
                <w:rFonts w:asciiTheme="minorHAnsi" w:hAnsiTheme="minorHAnsi"/>
                <w:b/>
                <w:bCs/>
                <w:sz w:val="18"/>
                <w:szCs w:val="18"/>
              </w:rPr>
              <w:t>C</w:t>
            </w:r>
            <w:r w:rsidR="006370A9" w:rsidRPr="00D17407">
              <w:rPr>
                <w:rFonts w:asciiTheme="minorHAnsi" w:hAnsiTheme="minorHAnsi"/>
                <w:b/>
                <w:bCs/>
                <w:sz w:val="18"/>
                <w:szCs w:val="18"/>
              </w:rPr>
              <w:t>hamp d'application</w:t>
            </w:r>
            <w:r w:rsidR="006370A9" w:rsidRPr="00D17407">
              <w:rPr>
                <w:rFonts w:ascii="Montserrat" w:hAnsi="Montserrat"/>
                <w:color w:val="326FA5"/>
                <w:shd w:val="clear" w:color="auto" w:fill="FFFFFF"/>
              </w:rPr>
              <w:t> </w:t>
            </w:r>
          </w:p>
        </w:tc>
        <w:tc>
          <w:tcPr>
            <w:tcW w:w="2264" w:type="dxa"/>
          </w:tcPr>
          <w:p w14:paraId="1A072F09" w14:textId="345C48AD" w:rsidR="00713D66" w:rsidRPr="00D17407" w:rsidRDefault="00713D66" w:rsidP="00F95554">
            <w:pP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D1740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Norme</w:t>
            </w:r>
          </w:p>
        </w:tc>
        <w:tc>
          <w:tcPr>
            <w:tcW w:w="2402" w:type="dxa"/>
          </w:tcPr>
          <w:p w14:paraId="20A41CFA" w14:textId="41C9A78C" w:rsidR="00713D66" w:rsidRPr="00D17407" w:rsidRDefault="00213F71" w:rsidP="00F95554">
            <w:pPr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D17407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Description</w:t>
            </w:r>
            <w:r w:rsidR="00713D66" w:rsidRPr="00D17407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de la dérogation</w:t>
            </w:r>
          </w:p>
        </w:tc>
        <w:tc>
          <w:tcPr>
            <w:tcW w:w="2551" w:type="dxa"/>
          </w:tcPr>
          <w:p w14:paraId="52F858D8" w14:textId="57DD717D" w:rsidR="00713D66" w:rsidRPr="00D17407" w:rsidDel="003A3D2D" w:rsidRDefault="00713D66" w:rsidP="00F95554">
            <w:pPr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D17407">
              <w:rPr>
                <w:rFonts w:cs="Calibri"/>
                <w:b/>
                <w:bCs/>
                <w:i/>
                <w:iCs/>
                <w:sz w:val="18"/>
                <w:szCs w:val="18"/>
              </w:rPr>
              <w:t>Motivation</w:t>
            </w:r>
          </w:p>
        </w:tc>
      </w:tr>
      <w:tr w:rsidR="00713D66" w:rsidRPr="00C00BBF" w14:paraId="1505AD07" w14:textId="77777777" w:rsidTr="00693EAE">
        <w:tc>
          <w:tcPr>
            <w:tcW w:w="846" w:type="dxa"/>
            <w:vMerge w:val="restart"/>
          </w:tcPr>
          <w:p w14:paraId="56947AD4" w14:textId="77777777" w:rsidR="00713D66" w:rsidRPr="0065594D" w:rsidRDefault="00713D66" w:rsidP="00F95554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65594D">
              <w:rPr>
                <w:rFonts w:asciiTheme="minorHAnsi" w:hAnsiTheme="minorHAnsi"/>
                <w:sz w:val="18"/>
                <w:szCs w:val="18"/>
                <w:lang w:val="nl-BE"/>
              </w:rPr>
              <w:t>45</w:t>
            </w:r>
          </w:p>
        </w:tc>
        <w:tc>
          <w:tcPr>
            <w:tcW w:w="1713" w:type="dxa"/>
            <w:vMerge w:val="restart"/>
          </w:tcPr>
          <w:p w14:paraId="1938F1FB" w14:textId="6A38D7B3" w:rsidR="00713D66" w:rsidRPr="00654ACB" w:rsidRDefault="00713D66" w:rsidP="00713D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DejaVuSans" w:hAnsi="DejaVuSans" w:cs="DejaVuSans"/>
                <w:sz w:val="19"/>
                <w:szCs w:val="19"/>
              </w:rPr>
              <w:t>T</w:t>
            </w:r>
            <w:r w:rsidRPr="00713D66">
              <w:rPr>
                <w:rFonts w:ascii="DejaVuSans" w:hAnsi="DejaVuSans" w:cs="DejaVuSans"/>
                <w:sz w:val="19"/>
                <w:szCs w:val="19"/>
              </w:rPr>
              <w:t>ous les établissements, à l'exception des habitations pour aînés et des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654ACB">
              <w:rPr>
                <w:rFonts w:ascii="DejaVuSans" w:hAnsi="DejaVuSans" w:cs="DejaVuSans"/>
                <w:sz w:val="19"/>
                <w:szCs w:val="19"/>
              </w:rPr>
              <w:t>résidences-services en copropriété</w:t>
            </w:r>
          </w:p>
        </w:tc>
        <w:tc>
          <w:tcPr>
            <w:tcW w:w="2264" w:type="dxa"/>
          </w:tcPr>
          <w:p w14:paraId="38A7F14B" w14:textId="36127394" w:rsidR="00713D66" w:rsidRPr="00713D66" w:rsidRDefault="00713D66" w:rsidP="00713D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713D66">
              <w:rPr>
                <w:rFonts w:ascii="DejaVuSans" w:hAnsi="DejaVuSans" w:cs="DejaVuSans"/>
                <w:sz w:val="19"/>
                <w:szCs w:val="19"/>
              </w:rPr>
              <w:t xml:space="preserve">La </w:t>
            </w:r>
            <w:r w:rsidRPr="00496DED">
              <w:rPr>
                <w:rFonts w:ascii="DejaVuSans" w:hAnsi="DejaVuSans" w:cs="DejaVuSans"/>
                <w:b/>
                <w:bCs/>
                <w:sz w:val="19"/>
                <w:szCs w:val="19"/>
              </w:rPr>
              <w:t>surface vitrée</w:t>
            </w:r>
            <w:r w:rsidRPr="00713D66"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D17407">
              <w:rPr>
                <w:rFonts w:ascii="DejaVuSans" w:hAnsi="DejaVuSans" w:cs="DejaVuSans"/>
                <w:b/>
                <w:bCs/>
                <w:sz w:val="19"/>
                <w:szCs w:val="19"/>
              </w:rPr>
              <w:t>de la salle de séjour</w:t>
            </w:r>
            <w:r w:rsidRPr="00713D66">
              <w:rPr>
                <w:rFonts w:ascii="DejaVuSans" w:hAnsi="DejaVuSans" w:cs="DejaVuSans"/>
                <w:sz w:val="19"/>
                <w:szCs w:val="19"/>
              </w:rPr>
              <w:t xml:space="preserve"> et des chambres est au moins égale au 1/6 de la surface nette au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713D66">
              <w:rPr>
                <w:rFonts w:ascii="DejaVuSans" w:hAnsi="DejaVuSans" w:cs="DejaVuSans"/>
                <w:sz w:val="19"/>
                <w:szCs w:val="19"/>
              </w:rPr>
              <w:t>sol.</w:t>
            </w:r>
          </w:p>
        </w:tc>
        <w:tc>
          <w:tcPr>
            <w:tcW w:w="2402" w:type="dxa"/>
          </w:tcPr>
          <w:p w14:paraId="1DE08C2F" w14:textId="77777777" w:rsidR="00713D66" w:rsidRPr="0065594D" w:rsidRDefault="00713D66" w:rsidP="00F95554">
            <w:pPr>
              <w:rPr>
                <w:rFonts w:cs="Calibri"/>
                <w:sz w:val="18"/>
                <w:szCs w:val="18"/>
                <w:lang w:val="nl-BE"/>
              </w:rPr>
            </w:pPr>
            <w:r w:rsidRPr="0065594D">
              <w:rPr>
                <w:rFonts w:cs="Calibri"/>
                <w:sz w:val="18"/>
                <w:szCs w:val="18"/>
                <w:highlight w:val="yellow"/>
                <w:lang w:val="nl-BE"/>
              </w:rPr>
              <w:t>…..</w:t>
            </w:r>
          </w:p>
        </w:tc>
        <w:tc>
          <w:tcPr>
            <w:tcW w:w="2551" w:type="dxa"/>
          </w:tcPr>
          <w:p w14:paraId="4A6EBAEB" w14:textId="77777777" w:rsidR="00713D66" w:rsidRPr="0065594D" w:rsidRDefault="00713D66" w:rsidP="00F95554">
            <w:pPr>
              <w:rPr>
                <w:rFonts w:cs="Calibri"/>
                <w:sz w:val="18"/>
                <w:szCs w:val="18"/>
                <w:lang w:val="nl-NL"/>
              </w:rPr>
            </w:pPr>
            <w:r w:rsidRPr="0065594D">
              <w:rPr>
                <w:rFonts w:cs="Calibri"/>
                <w:sz w:val="18"/>
                <w:szCs w:val="18"/>
                <w:highlight w:val="yellow"/>
                <w:lang w:val="nl-NL"/>
              </w:rPr>
              <w:t>……</w:t>
            </w:r>
          </w:p>
        </w:tc>
      </w:tr>
      <w:tr w:rsidR="00713D66" w:rsidRPr="00C00BBF" w14:paraId="1CA82CC1" w14:textId="77777777" w:rsidTr="00693EAE">
        <w:tc>
          <w:tcPr>
            <w:tcW w:w="846" w:type="dxa"/>
            <w:vMerge/>
          </w:tcPr>
          <w:p w14:paraId="15CBAF5A" w14:textId="77777777" w:rsidR="00713D66" w:rsidRPr="0065594D" w:rsidRDefault="00713D66" w:rsidP="00F95554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</w:p>
        </w:tc>
        <w:tc>
          <w:tcPr>
            <w:tcW w:w="1713" w:type="dxa"/>
            <w:vMerge/>
          </w:tcPr>
          <w:p w14:paraId="4212BFF3" w14:textId="77777777" w:rsidR="00713D66" w:rsidRPr="0065594D" w:rsidRDefault="00713D66" w:rsidP="00F95554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</w:p>
        </w:tc>
        <w:tc>
          <w:tcPr>
            <w:tcW w:w="2264" w:type="dxa"/>
          </w:tcPr>
          <w:p w14:paraId="3B10548E" w14:textId="77777777" w:rsidR="00713D66" w:rsidRPr="00713D66" w:rsidRDefault="00713D66" w:rsidP="00713D66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9"/>
                <w:szCs w:val="19"/>
              </w:rPr>
            </w:pPr>
            <w:r w:rsidRPr="00713D66">
              <w:rPr>
                <w:rFonts w:ascii="DejaVuSans" w:hAnsi="DejaVuSans" w:cs="DejaVuSans"/>
                <w:sz w:val="19"/>
                <w:szCs w:val="19"/>
              </w:rPr>
              <w:t xml:space="preserve">La </w:t>
            </w:r>
            <w:r w:rsidRPr="00B75368">
              <w:rPr>
                <w:rFonts w:ascii="DejaVuSans" w:hAnsi="DejaVuSans" w:cs="DejaVuSans"/>
                <w:b/>
                <w:bCs/>
                <w:sz w:val="19"/>
                <w:szCs w:val="19"/>
              </w:rPr>
              <w:t>hauteur des appuis de fenêtre</w:t>
            </w:r>
            <w:r w:rsidRPr="00713D66">
              <w:rPr>
                <w:rFonts w:ascii="DejaVuSans" w:hAnsi="DejaVuSans" w:cs="DejaVuSans"/>
                <w:sz w:val="19"/>
                <w:szCs w:val="19"/>
              </w:rPr>
              <w:t xml:space="preserve"> doit permettre la vue à l'extérieur en position assise et en regardant devant</w:t>
            </w:r>
          </w:p>
          <w:p w14:paraId="645AA637" w14:textId="7C889DC7" w:rsidR="00713D66" w:rsidRPr="0065594D" w:rsidRDefault="00713D66" w:rsidP="00713D66">
            <w:pPr>
              <w:jc w:val="both"/>
              <w:rPr>
                <w:rFonts w:asciiTheme="minorHAnsi" w:hAnsiTheme="minorHAnsi"/>
                <w:sz w:val="18"/>
                <w:szCs w:val="18"/>
                <w:lang w:val="nl-BE"/>
              </w:rPr>
            </w:pPr>
            <w:r>
              <w:rPr>
                <w:rFonts w:ascii="DejaVuSans" w:hAnsi="DejaVuSans" w:cs="DejaVuSans"/>
                <w:sz w:val="19"/>
                <w:szCs w:val="19"/>
                <w:lang w:val="nl-BE"/>
              </w:rPr>
              <w:t xml:space="preserve">soi, sans risque </w:t>
            </w:r>
            <w:r w:rsidRPr="00D17407">
              <w:rPr>
                <w:rFonts w:ascii="DejaVuSans" w:hAnsi="DejaVuSans" w:cs="DejaVuSans"/>
                <w:sz w:val="19"/>
                <w:szCs w:val="19"/>
              </w:rPr>
              <w:t>d'accident</w:t>
            </w:r>
            <w:r>
              <w:rPr>
                <w:rFonts w:ascii="DejaVuSans" w:hAnsi="DejaVuSans" w:cs="DejaVuSans"/>
                <w:sz w:val="19"/>
                <w:szCs w:val="19"/>
                <w:lang w:val="nl-BE"/>
              </w:rPr>
              <w:t>.</w:t>
            </w:r>
          </w:p>
        </w:tc>
        <w:tc>
          <w:tcPr>
            <w:tcW w:w="2402" w:type="dxa"/>
          </w:tcPr>
          <w:p w14:paraId="04A77D20" w14:textId="77777777" w:rsidR="00713D66" w:rsidRPr="0065594D" w:rsidRDefault="00713D66" w:rsidP="00F95554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BE"/>
              </w:rPr>
              <w:t>…..</w:t>
            </w:r>
          </w:p>
        </w:tc>
        <w:tc>
          <w:tcPr>
            <w:tcW w:w="2551" w:type="dxa"/>
          </w:tcPr>
          <w:p w14:paraId="2877F2BE" w14:textId="77777777" w:rsidR="00713D66" w:rsidRPr="0065594D" w:rsidRDefault="00713D66" w:rsidP="00F95554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NL"/>
              </w:rPr>
              <w:t>……</w:t>
            </w:r>
          </w:p>
        </w:tc>
      </w:tr>
      <w:tr w:rsidR="00654ACB" w:rsidRPr="00C00BBF" w14:paraId="0CB0C907" w14:textId="77777777" w:rsidTr="00693EAE">
        <w:tc>
          <w:tcPr>
            <w:tcW w:w="846" w:type="dxa"/>
            <w:vMerge w:val="restart"/>
          </w:tcPr>
          <w:p w14:paraId="7AC9B7C2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65594D">
              <w:rPr>
                <w:rFonts w:asciiTheme="minorHAnsi" w:hAnsiTheme="minorHAnsi"/>
                <w:sz w:val="18"/>
                <w:szCs w:val="18"/>
                <w:lang w:val="nl-BE"/>
              </w:rPr>
              <w:t>48</w:t>
            </w:r>
          </w:p>
        </w:tc>
        <w:tc>
          <w:tcPr>
            <w:tcW w:w="1713" w:type="dxa"/>
            <w:vMerge w:val="restart"/>
          </w:tcPr>
          <w:p w14:paraId="279B90E7" w14:textId="22F73B19" w:rsidR="00654ACB" w:rsidRPr="00654ACB" w:rsidRDefault="00654ACB" w:rsidP="00654AC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DejaVuSans" w:hAnsi="DejaVuSans" w:cs="DejaVuSans"/>
                <w:sz w:val="19"/>
                <w:szCs w:val="19"/>
              </w:rPr>
              <w:t>T</w:t>
            </w:r>
            <w:r w:rsidRPr="00713D66">
              <w:rPr>
                <w:rFonts w:ascii="DejaVuSans" w:hAnsi="DejaVuSans" w:cs="DejaVuSans"/>
                <w:sz w:val="19"/>
                <w:szCs w:val="19"/>
              </w:rPr>
              <w:t>ous les établissements, à l'exception des habitations pour aînés et des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654ACB">
              <w:rPr>
                <w:rFonts w:ascii="DejaVuSans" w:hAnsi="DejaVuSans" w:cs="DejaVuSans"/>
                <w:sz w:val="19"/>
                <w:szCs w:val="19"/>
              </w:rPr>
              <w:t>résidences-services en copropriété</w:t>
            </w:r>
          </w:p>
        </w:tc>
        <w:tc>
          <w:tcPr>
            <w:tcW w:w="2264" w:type="dxa"/>
          </w:tcPr>
          <w:p w14:paraId="42B9BEDE" w14:textId="7E1E809B" w:rsidR="007264F7" w:rsidRPr="007264F7" w:rsidRDefault="007264F7" w:rsidP="007264F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9"/>
                <w:szCs w:val="19"/>
              </w:rPr>
            </w:pPr>
            <w:r w:rsidRPr="007264F7">
              <w:rPr>
                <w:rFonts w:ascii="DejaVuSans" w:hAnsi="DejaVuSans" w:cs="DejaVuSans"/>
                <w:sz w:val="19"/>
                <w:szCs w:val="19"/>
              </w:rPr>
              <w:t>Les établissements ayant un ou plusieurs étages supérieurs ou inférieurs au niveau d'évacuation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 xml:space="preserve">normal doivent, </w:t>
            </w:r>
            <w:r w:rsidR="00496DED">
              <w:rPr>
                <w:rFonts w:ascii="DejaVuSans" w:hAnsi="DejaVuSans" w:cs="DejaVuSans"/>
                <w:sz w:val="19"/>
                <w:szCs w:val="19"/>
              </w:rPr>
              <w:t>pour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 xml:space="preserve"> ce qui concerne le </w:t>
            </w:r>
            <w:r w:rsidRPr="00B75368">
              <w:rPr>
                <w:rFonts w:ascii="DejaVuSans" w:hAnsi="DejaVuSans" w:cs="DejaVuSans"/>
                <w:b/>
                <w:bCs/>
                <w:sz w:val="19"/>
                <w:szCs w:val="19"/>
              </w:rPr>
              <w:t>nombre d'ascenseurs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 xml:space="preserve">, répondre à la norme NBN E52-019, </w:t>
            </w:r>
            <w:r w:rsidR="00496DED">
              <w:rPr>
                <w:rFonts w:ascii="DejaVuSans" w:hAnsi="DejaVuSans" w:cs="DejaVuSans"/>
                <w:sz w:val="19"/>
                <w:szCs w:val="19"/>
              </w:rPr>
              <w:t xml:space="preserve">ce qui doit être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 xml:space="preserve"> démontr</w:t>
            </w:r>
            <w:r w:rsidR="00496DED">
              <w:rPr>
                <w:rFonts w:ascii="DejaVuSans" w:hAnsi="DejaVuSans" w:cs="DejaVuSans"/>
                <w:sz w:val="19"/>
                <w:szCs w:val="19"/>
              </w:rPr>
              <w:t>é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>par une note de calcul conforme à la norme susmentionnée ou par une simulation.</w:t>
            </w:r>
          </w:p>
          <w:p w14:paraId="1612B879" w14:textId="6ADC2B9A" w:rsidR="00654ACB" w:rsidRPr="007264F7" w:rsidRDefault="007264F7" w:rsidP="007264F7">
            <w:pPr>
              <w:jc w:val="both"/>
              <w:rPr>
                <w:rFonts w:cs="Calibri"/>
                <w:sz w:val="18"/>
                <w:szCs w:val="18"/>
              </w:rPr>
            </w:pPr>
            <w:r w:rsidRPr="007264F7">
              <w:rPr>
                <w:rFonts w:ascii="DejaVuSans" w:hAnsi="DejaVuSans" w:cs="DejaVuSans"/>
                <w:sz w:val="19"/>
                <w:szCs w:val="19"/>
              </w:rPr>
              <w:t>A défaut de ladite note, au moins un ascenseur par tranche entamée de 40 aînés est exigé.</w:t>
            </w:r>
          </w:p>
        </w:tc>
        <w:tc>
          <w:tcPr>
            <w:tcW w:w="2402" w:type="dxa"/>
          </w:tcPr>
          <w:p w14:paraId="673BC987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BE"/>
              </w:rPr>
              <w:t>…..</w:t>
            </w:r>
          </w:p>
        </w:tc>
        <w:tc>
          <w:tcPr>
            <w:tcW w:w="2551" w:type="dxa"/>
          </w:tcPr>
          <w:p w14:paraId="7BAF3C7F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NL"/>
              </w:rPr>
              <w:t>……</w:t>
            </w:r>
          </w:p>
        </w:tc>
      </w:tr>
      <w:tr w:rsidR="00654ACB" w:rsidRPr="00C00BBF" w14:paraId="167327B8" w14:textId="77777777" w:rsidTr="00693EAE">
        <w:tc>
          <w:tcPr>
            <w:tcW w:w="846" w:type="dxa"/>
            <w:vMerge/>
          </w:tcPr>
          <w:p w14:paraId="751CD2CD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</w:p>
        </w:tc>
        <w:tc>
          <w:tcPr>
            <w:tcW w:w="1713" w:type="dxa"/>
            <w:vMerge/>
          </w:tcPr>
          <w:p w14:paraId="6DD00AB1" w14:textId="77777777" w:rsidR="00654ACB" w:rsidRPr="0065594D" w:rsidRDefault="00654ACB" w:rsidP="00654ACB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</w:p>
        </w:tc>
        <w:tc>
          <w:tcPr>
            <w:tcW w:w="2264" w:type="dxa"/>
          </w:tcPr>
          <w:p w14:paraId="61370AD4" w14:textId="77CB8C4D" w:rsidR="00654ACB" w:rsidRPr="007264F7" w:rsidRDefault="007264F7" w:rsidP="007264F7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7264F7">
              <w:rPr>
                <w:rFonts w:ascii="DejaVuSans" w:hAnsi="DejaVuSans" w:cs="DejaVuSans"/>
                <w:sz w:val="19"/>
                <w:szCs w:val="19"/>
              </w:rPr>
              <w:t xml:space="preserve">Au moins un ascenseur doit mesurer au moins 2,1 m sur 1,1 m afin de </w:t>
            </w:r>
            <w:r w:rsidRPr="00B75368">
              <w:rPr>
                <w:rFonts w:ascii="DejaVuSans" w:hAnsi="DejaVuSans" w:cs="DejaVuSans"/>
                <w:b/>
                <w:bCs/>
                <w:sz w:val="19"/>
                <w:szCs w:val="19"/>
              </w:rPr>
              <w:t>pouvoir transporter une civière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>. Cet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>ascenseur doit desservir tous les étages ayant des locaux accessibles aux aînés.</w:t>
            </w:r>
          </w:p>
        </w:tc>
        <w:tc>
          <w:tcPr>
            <w:tcW w:w="2402" w:type="dxa"/>
          </w:tcPr>
          <w:p w14:paraId="17A761D3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BE"/>
              </w:rPr>
              <w:t>…..</w:t>
            </w:r>
          </w:p>
        </w:tc>
        <w:tc>
          <w:tcPr>
            <w:tcW w:w="2551" w:type="dxa"/>
          </w:tcPr>
          <w:p w14:paraId="0B60AA55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NL"/>
              </w:rPr>
              <w:t>……</w:t>
            </w:r>
          </w:p>
        </w:tc>
      </w:tr>
      <w:tr w:rsidR="00654ACB" w:rsidRPr="00C00BBF" w14:paraId="5BBB78DD" w14:textId="77777777" w:rsidTr="00693EAE">
        <w:tc>
          <w:tcPr>
            <w:tcW w:w="846" w:type="dxa"/>
            <w:vMerge w:val="restart"/>
          </w:tcPr>
          <w:p w14:paraId="5AC77118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65594D">
              <w:rPr>
                <w:rFonts w:asciiTheme="minorHAnsi" w:hAnsiTheme="minorHAnsi"/>
                <w:sz w:val="18"/>
                <w:szCs w:val="18"/>
                <w:lang w:val="nl-BE"/>
              </w:rPr>
              <w:t>59</w:t>
            </w:r>
          </w:p>
        </w:tc>
        <w:tc>
          <w:tcPr>
            <w:tcW w:w="1713" w:type="dxa"/>
            <w:vMerge w:val="restart"/>
          </w:tcPr>
          <w:p w14:paraId="304A88DA" w14:textId="7338C6DF" w:rsidR="00654ACB" w:rsidRPr="0065594D" w:rsidRDefault="00496DED" w:rsidP="007264F7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  <w:r>
              <w:rPr>
                <w:rFonts w:ascii="DejaVuSans" w:hAnsi="DejaVuSans" w:cs="DejaVuSans"/>
                <w:sz w:val="19"/>
                <w:szCs w:val="19"/>
                <w:lang w:val="nl-BE"/>
              </w:rPr>
              <w:t>H</w:t>
            </w:r>
            <w:r w:rsidR="007264F7">
              <w:rPr>
                <w:rFonts w:ascii="DejaVuSans" w:hAnsi="DejaVuSans" w:cs="DejaVuSans"/>
                <w:sz w:val="19"/>
                <w:szCs w:val="19"/>
                <w:lang w:val="nl-BE"/>
              </w:rPr>
              <w:t>abitations pour aînés</w:t>
            </w:r>
          </w:p>
        </w:tc>
        <w:tc>
          <w:tcPr>
            <w:tcW w:w="2264" w:type="dxa"/>
          </w:tcPr>
          <w:p w14:paraId="1B5870A5" w14:textId="7930F4C3" w:rsidR="007264F7" w:rsidRPr="007264F7" w:rsidRDefault="007264F7" w:rsidP="007264F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9"/>
                <w:szCs w:val="19"/>
              </w:rPr>
            </w:pPr>
            <w:r w:rsidRPr="007264F7">
              <w:rPr>
                <w:rFonts w:ascii="DejaVuSans" w:hAnsi="DejaVuSans" w:cs="DejaVuSans"/>
                <w:sz w:val="19"/>
                <w:szCs w:val="19"/>
              </w:rPr>
              <w:t>Les établissements ayant un ou plusieurs étages supérieurs ou inférieurs au niveau d'évacuation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 xml:space="preserve">normal doivent pour ce qui concerne </w:t>
            </w:r>
            <w:r w:rsidRPr="00B75368">
              <w:rPr>
                <w:rFonts w:ascii="DejaVuSans" w:hAnsi="DejaVuSans" w:cs="DejaVuSans"/>
                <w:b/>
                <w:bCs/>
                <w:sz w:val="19"/>
                <w:szCs w:val="19"/>
              </w:rPr>
              <w:t>le nombre d'ascenseurs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>, répondre à la norme NBN E52-019,</w:t>
            </w:r>
            <w:r w:rsidR="00496DED">
              <w:rPr>
                <w:rFonts w:ascii="DejaVuSans" w:hAnsi="DejaVuSans" w:cs="DejaVuSans"/>
                <w:sz w:val="19"/>
                <w:szCs w:val="19"/>
              </w:rPr>
              <w:t xml:space="preserve"> ce qui doit être démontré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 xml:space="preserve">par une note de calcul conforme à la norme susmentionnée ou par </w:t>
            </w:r>
            <w:r w:rsidR="00496DED">
              <w:rPr>
                <w:rFonts w:ascii="DejaVuSans" w:hAnsi="DejaVuSans" w:cs="DejaVuSans"/>
                <w:sz w:val="19"/>
                <w:szCs w:val="19"/>
              </w:rPr>
              <w:t xml:space="preserve">une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>simulation.</w:t>
            </w:r>
          </w:p>
          <w:p w14:paraId="214B9198" w14:textId="2AE62A02" w:rsidR="00654ACB" w:rsidRPr="007264F7" w:rsidRDefault="007264F7" w:rsidP="007264F7">
            <w:pPr>
              <w:jc w:val="both"/>
              <w:rPr>
                <w:rFonts w:cs="Calibri"/>
                <w:sz w:val="18"/>
                <w:szCs w:val="18"/>
              </w:rPr>
            </w:pPr>
            <w:r w:rsidRPr="007264F7">
              <w:rPr>
                <w:rFonts w:ascii="DejaVuSans" w:hAnsi="DejaVuSans" w:cs="DejaVuSans"/>
                <w:sz w:val="19"/>
                <w:szCs w:val="19"/>
              </w:rPr>
              <w:t>A défaut de ladite note de calcul, au moins un ascenseur par tranche entamée de 40 habitants est exigé.</w:t>
            </w:r>
          </w:p>
        </w:tc>
        <w:tc>
          <w:tcPr>
            <w:tcW w:w="2402" w:type="dxa"/>
          </w:tcPr>
          <w:p w14:paraId="6B1D4A89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BE"/>
              </w:rPr>
              <w:t>…..</w:t>
            </w:r>
          </w:p>
        </w:tc>
        <w:tc>
          <w:tcPr>
            <w:tcW w:w="2551" w:type="dxa"/>
          </w:tcPr>
          <w:p w14:paraId="5DC14D33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NL"/>
              </w:rPr>
              <w:t>……</w:t>
            </w:r>
          </w:p>
        </w:tc>
      </w:tr>
      <w:tr w:rsidR="00654ACB" w:rsidRPr="00C00BBF" w14:paraId="7B931383" w14:textId="77777777" w:rsidTr="00693EAE">
        <w:tc>
          <w:tcPr>
            <w:tcW w:w="846" w:type="dxa"/>
            <w:vMerge/>
          </w:tcPr>
          <w:p w14:paraId="4218A03C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</w:p>
        </w:tc>
        <w:tc>
          <w:tcPr>
            <w:tcW w:w="1713" w:type="dxa"/>
            <w:vMerge/>
          </w:tcPr>
          <w:p w14:paraId="45C7F17E" w14:textId="77777777" w:rsidR="00654ACB" w:rsidRPr="0065594D" w:rsidRDefault="00654ACB" w:rsidP="00654ACB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</w:p>
        </w:tc>
        <w:tc>
          <w:tcPr>
            <w:tcW w:w="2264" w:type="dxa"/>
          </w:tcPr>
          <w:p w14:paraId="2288447E" w14:textId="3A9E2902" w:rsidR="00654ACB" w:rsidRPr="00D17407" w:rsidRDefault="007264F7" w:rsidP="007264F7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7264F7">
              <w:rPr>
                <w:rFonts w:ascii="DejaVuSans" w:hAnsi="DejaVuSans" w:cs="DejaVuSans"/>
                <w:sz w:val="19"/>
                <w:szCs w:val="19"/>
              </w:rPr>
              <w:t xml:space="preserve">Un ascenseur au moins doit mesurer au moins 2,1 m sur 1,1 m afin de pouvoir </w:t>
            </w:r>
            <w:r w:rsidRPr="00B75368">
              <w:rPr>
                <w:rFonts w:ascii="DejaVuSans" w:hAnsi="DejaVuSans" w:cs="DejaVuSans"/>
                <w:b/>
                <w:bCs/>
                <w:sz w:val="19"/>
                <w:szCs w:val="19"/>
              </w:rPr>
              <w:t>transporter une civière.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D17407">
              <w:rPr>
                <w:rFonts w:ascii="DejaVuSans" w:hAnsi="DejaVuSans" w:cs="DejaVuSans"/>
                <w:sz w:val="19"/>
                <w:szCs w:val="19"/>
              </w:rPr>
              <w:t xml:space="preserve">Cet ascenseur doit </w:t>
            </w:r>
            <w:r w:rsidRPr="00D17407">
              <w:rPr>
                <w:rFonts w:ascii="DejaVuSans" w:hAnsi="DejaVuSans" w:cs="DejaVuSans"/>
                <w:sz w:val="19"/>
                <w:szCs w:val="19"/>
              </w:rPr>
              <w:lastRenderedPageBreak/>
              <w:t>desservir tous les étages de l'établissement</w:t>
            </w:r>
            <w:r w:rsidR="00496DED">
              <w:rPr>
                <w:rFonts w:ascii="DejaVuSans" w:hAnsi="DejaVuSans" w:cs="DejaVuSans"/>
                <w:sz w:val="19"/>
                <w:szCs w:val="19"/>
              </w:rPr>
              <w:t>.</w:t>
            </w:r>
          </w:p>
        </w:tc>
        <w:tc>
          <w:tcPr>
            <w:tcW w:w="2402" w:type="dxa"/>
          </w:tcPr>
          <w:p w14:paraId="60B867D1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BE"/>
              </w:rPr>
              <w:lastRenderedPageBreak/>
              <w:t>…..</w:t>
            </w:r>
          </w:p>
        </w:tc>
        <w:tc>
          <w:tcPr>
            <w:tcW w:w="2551" w:type="dxa"/>
          </w:tcPr>
          <w:p w14:paraId="1D73B929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NL"/>
              </w:rPr>
              <w:t>……</w:t>
            </w:r>
          </w:p>
        </w:tc>
      </w:tr>
      <w:tr w:rsidR="00654ACB" w:rsidRPr="00C00BBF" w14:paraId="4FA5FAE5" w14:textId="77777777" w:rsidTr="00693EAE">
        <w:trPr>
          <w:trHeight w:val="3396"/>
        </w:trPr>
        <w:tc>
          <w:tcPr>
            <w:tcW w:w="846" w:type="dxa"/>
            <w:vMerge w:val="restart"/>
          </w:tcPr>
          <w:p w14:paraId="54607C94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65594D">
              <w:rPr>
                <w:rFonts w:asciiTheme="minorHAnsi" w:hAnsiTheme="minorHAnsi"/>
                <w:sz w:val="18"/>
                <w:szCs w:val="18"/>
                <w:lang w:val="nl-BE"/>
              </w:rPr>
              <w:t>170</w:t>
            </w:r>
          </w:p>
        </w:tc>
        <w:tc>
          <w:tcPr>
            <w:tcW w:w="1713" w:type="dxa"/>
            <w:vMerge w:val="restart"/>
          </w:tcPr>
          <w:p w14:paraId="14981A80" w14:textId="662AC97C" w:rsidR="00654ACB" w:rsidRPr="0065594D" w:rsidRDefault="00496DED" w:rsidP="00654ACB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  <w:r>
              <w:rPr>
                <w:rFonts w:ascii="DejaVuSans" w:hAnsi="DejaVuSans" w:cs="DejaVuSans"/>
                <w:sz w:val="19"/>
                <w:szCs w:val="19"/>
                <w:lang w:val="nl-BE"/>
              </w:rPr>
              <w:t>M</w:t>
            </w:r>
            <w:r w:rsidR="007264F7">
              <w:rPr>
                <w:rFonts w:ascii="DejaVuSans" w:hAnsi="DejaVuSans" w:cs="DejaVuSans"/>
                <w:sz w:val="19"/>
                <w:szCs w:val="19"/>
                <w:lang w:val="nl-BE"/>
              </w:rPr>
              <w:t>aisons de repos</w:t>
            </w:r>
          </w:p>
        </w:tc>
        <w:tc>
          <w:tcPr>
            <w:tcW w:w="2264" w:type="dxa"/>
          </w:tcPr>
          <w:p w14:paraId="10A86E84" w14:textId="45E22CB0" w:rsidR="00654ACB" w:rsidRPr="007264F7" w:rsidRDefault="007264F7" w:rsidP="007264F7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7264F7">
              <w:rPr>
                <w:rFonts w:ascii="DejaVuSans" w:hAnsi="DejaVuSans" w:cs="DejaVuSans"/>
                <w:sz w:val="19"/>
                <w:szCs w:val="19"/>
              </w:rPr>
              <w:t>Dans les établissements mis en exploitation après le 1er janvier 2010 et les établissements mis en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>exploitation avant le 1er janvier 2010 qui effectuent aux chambres des travaux de transformation ou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 xml:space="preserve">d'extension, la </w:t>
            </w:r>
            <w:r w:rsidRPr="00B75368">
              <w:rPr>
                <w:rFonts w:ascii="DejaVuSans" w:hAnsi="DejaVuSans" w:cs="DejaVuSans"/>
                <w:b/>
                <w:bCs/>
                <w:sz w:val="19"/>
                <w:szCs w:val="19"/>
              </w:rPr>
              <w:t>superficie minimale nette des chambres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 xml:space="preserve"> individuelles, à l'exclusion des installations sanitaires, est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>de 15 m2 ; elle est de 11 m2 par habitant dans les chambres doubles.</w:t>
            </w:r>
          </w:p>
        </w:tc>
        <w:tc>
          <w:tcPr>
            <w:tcW w:w="2402" w:type="dxa"/>
          </w:tcPr>
          <w:p w14:paraId="28A48849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BE"/>
              </w:rPr>
              <w:t>…..</w:t>
            </w:r>
          </w:p>
        </w:tc>
        <w:tc>
          <w:tcPr>
            <w:tcW w:w="2551" w:type="dxa"/>
          </w:tcPr>
          <w:p w14:paraId="4B0D1330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NL"/>
              </w:rPr>
              <w:t>……</w:t>
            </w:r>
          </w:p>
        </w:tc>
      </w:tr>
      <w:tr w:rsidR="00654ACB" w:rsidRPr="00C00BBF" w14:paraId="52DE8442" w14:textId="77777777" w:rsidTr="00693EAE">
        <w:trPr>
          <w:trHeight w:val="2907"/>
        </w:trPr>
        <w:tc>
          <w:tcPr>
            <w:tcW w:w="846" w:type="dxa"/>
            <w:vMerge/>
          </w:tcPr>
          <w:p w14:paraId="2D96F098" w14:textId="77777777" w:rsidR="00654ACB" w:rsidRPr="00C00BBF" w:rsidDel="0055456C" w:rsidRDefault="00654ACB" w:rsidP="00654ACB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</w:p>
        </w:tc>
        <w:tc>
          <w:tcPr>
            <w:tcW w:w="1713" w:type="dxa"/>
            <w:vMerge/>
          </w:tcPr>
          <w:p w14:paraId="1298C30D" w14:textId="77777777" w:rsidR="00654ACB" w:rsidRPr="00C00BBF" w:rsidRDefault="00654ACB" w:rsidP="00654ACB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</w:p>
        </w:tc>
        <w:tc>
          <w:tcPr>
            <w:tcW w:w="2264" w:type="dxa"/>
          </w:tcPr>
          <w:p w14:paraId="79EA6B18" w14:textId="31504165" w:rsidR="00654ACB" w:rsidRPr="007264F7" w:rsidRDefault="007264F7" w:rsidP="00B7536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7264F7">
              <w:rPr>
                <w:rFonts w:ascii="DejaVuSans" w:hAnsi="DejaVuSans" w:cs="DejaVuSans"/>
                <w:sz w:val="19"/>
                <w:szCs w:val="19"/>
              </w:rPr>
              <w:t>Dans les établissements mis en exploitation avant le 1er janvier 2010 et les établissements pour lesquels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>l'autorisation de travaux a été accordée par les Ministres ou dont le projet a été approuvé par les Ministres avant</w:t>
            </w:r>
            <w:r w:rsidR="00B75368"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>le 1er janvier 2010, la superficie minimale nette des chambres individuelles, à l'exclusion des installations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7264F7">
              <w:rPr>
                <w:rFonts w:ascii="DejaVuSans" w:hAnsi="DejaVuSans" w:cs="DejaVuSans"/>
                <w:sz w:val="19"/>
                <w:szCs w:val="19"/>
              </w:rPr>
              <w:t>sanitaires, ne peut être inférieure à 12 m2 ; elle est de 10 m2 par habitant pour les chambres doubles.</w:t>
            </w:r>
          </w:p>
        </w:tc>
        <w:tc>
          <w:tcPr>
            <w:tcW w:w="2402" w:type="dxa"/>
          </w:tcPr>
          <w:p w14:paraId="311B72FA" w14:textId="77777777" w:rsidR="00654ACB" w:rsidRPr="00F52A40" w:rsidRDefault="00654ACB" w:rsidP="00654ACB">
            <w:pPr>
              <w:rPr>
                <w:rFonts w:cs="Calibri"/>
                <w:sz w:val="18"/>
                <w:szCs w:val="18"/>
                <w:highlight w:val="yellow"/>
                <w:lang w:val="nl-BE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BE"/>
              </w:rPr>
              <w:t>…..</w:t>
            </w:r>
          </w:p>
        </w:tc>
        <w:tc>
          <w:tcPr>
            <w:tcW w:w="2551" w:type="dxa"/>
          </w:tcPr>
          <w:p w14:paraId="0516B305" w14:textId="77777777" w:rsidR="00654ACB" w:rsidRPr="00F52A40" w:rsidRDefault="00654ACB" w:rsidP="00654ACB">
            <w:pPr>
              <w:rPr>
                <w:rFonts w:cs="Calibri"/>
                <w:sz w:val="18"/>
                <w:szCs w:val="18"/>
                <w:highlight w:val="yellow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NL"/>
              </w:rPr>
              <w:t>……</w:t>
            </w:r>
          </w:p>
        </w:tc>
      </w:tr>
      <w:tr w:rsidR="00654ACB" w:rsidRPr="00C00BBF" w14:paraId="45A8BE1D" w14:textId="77777777" w:rsidTr="00693EAE">
        <w:tc>
          <w:tcPr>
            <w:tcW w:w="846" w:type="dxa"/>
          </w:tcPr>
          <w:p w14:paraId="3D84AFB8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65594D">
              <w:rPr>
                <w:rFonts w:asciiTheme="minorHAnsi" w:hAnsiTheme="minorHAnsi"/>
                <w:sz w:val="18"/>
                <w:szCs w:val="18"/>
                <w:lang w:val="nl-BE"/>
              </w:rPr>
              <w:t>177</w:t>
            </w:r>
          </w:p>
        </w:tc>
        <w:tc>
          <w:tcPr>
            <w:tcW w:w="1713" w:type="dxa"/>
          </w:tcPr>
          <w:p w14:paraId="2655F438" w14:textId="12808293" w:rsidR="00654ACB" w:rsidRPr="0065594D" w:rsidRDefault="003A1A2F" w:rsidP="00654ACB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  <w:r>
              <w:rPr>
                <w:rFonts w:ascii="DejaVuSans" w:hAnsi="DejaVuSans" w:cs="DejaVuSans"/>
                <w:sz w:val="19"/>
                <w:szCs w:val="19"/>
                <w:lang w:val="nl-BE"/>
              </w:rPr>
              <w:t>M</w:t>
            </w:r>
            <w:r w:rsidR="002B29C9">
              <w:rPr>
                <w:rFonts w:ascii="DejaVuSans" w:hAnsi="DejaVuSans" w:cs="DejaVuSans"/>
                <w:sz w:val="19"/>
                <w:szCs w:val="19"/>
                <w:lang w:val="nl-BE"/>
              </w:rPr>
              <w:t>aisons de repos</w:t>
            </w:r>
          </w:p>
        </w:tc>
        <w:tc>
          <w:tcPr>
            <w:tcW w:w="2264" w:type="dxa"/>
          </w:tcPr>
          <w:p w14:paraId="501AE15B" w14:textId="058433AE" w:rsidR="002B29C9" w:rsidRPr="002B29C9" w:rsidRDefault="00654ACB" w:rsidP="002B29C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9"/>
                <w:szCs w:val="19"/>
              </w:rPr>
            </w:pPr>
            <w:r w:rsidRPr="002B29C9">
              <w:rPr>
                <w:rFonts w:asciiTheme="minorHAnsi" w:hAnsiTheme="minorHAnsi"/>
                <w:sz w:val="18"/>
                <w:szCs w:val="18"/>
              </w:rPr>
              <w:t>§ 1.</w:t>
            </w:r>
            <w:r w:rsidR="002B29C9" w:rsidRPr="002B29C9">
              <w:rPr>
                <w:rFonts w:ascii="DejaVuSans" w:hAnsi="DejaVuSans" w:cs="DejaVuSans"/>
                <w:sz w:val="19"/>
                <w:szCs w:val="19"/>
              </w:rPr>
              <w:t xml:space="preserve">. Tous les locaux accessibles aux résidents disposent d'un </w:t>
            </w:r>
            <w:r w:rsidR="002B29C9" w:rsidRPr="00B75368">
              <w:rPr>
                <w:rFonts w:ascii="DejaVuSans" w:hAnsi="DejaVuSans" w:cs="DejaVuSans"/>
                <w:b/>
                <w:bCs/>
                <w:sz w:val="19"/>
                <w:szCs w:val="19"/>
              </w:rPr>
              <w:t>système d'appel</w:t>
            </w:r>
            <w:r w:rsidR="002B29C9" w:rsidRPr="002B29C9">
              <w:rPr>
                <w:rFonts w:ascii="DejaVuSans" w:hAnsi="DejaVuSans" w:cs="DejaVuSans"/>
                <w:sz w:val="19"/>
                <w:szCs w:val="19"/>
              </w:rPr>
              <w:t>.</w:t>
            </w:r>
            <w:r w:rsidR="003A1A2F"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="002B29C9" w:rsidRPr="002B29C9">
              <w:rPr>
                <w:rFonts w:ascii="DejaVuSans" w:hAnsi="DejaVuSans" w:cs="DejaVuSans"/>
                <w:sz w:val="19"/>
                <w:szCs w:val="19"/>
              </w:rPr>
              <w:t>Dans la chambre, le point d'appel fixe est accessible depuis chaque lit et chaque fauteuil ; le cas échéant, ce</w:t>
            </w:r>
            <w:r w:rsidR="002B29C9"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="002B29C9" w:rsidRPr="002B29C9">
              <w:rPr>
                <w:rFonts w:ascii="DejaVuSans" w:hAnsi="DejaVuSans" w:cs="DejaVuSans"/>
                <w:sz w:val="19"/>
                <w:szCs w:val="19"/>
              </w:rPr>
              <w:t>système doit pouvoir être actionné sans déranger les autres occupants de la chambre.</w:t>
            </w:r>
          </w:p>
          <w:p w14:paraId="246ECADE" w14:textId="77777777" w:rsidR="00654ACB" w:rsidRDefault="002B29C9" w:rsidP="002B29C9">
            <w:pPr>
              <w:jc w:val="both"/>
              <w:rPr>
                <w:rFonts w:ascii="DejaVuSans" w:hAnsi="DejaVuSans" w:cs="DejaVuSans"/>
                <w:sz w:val="19"/>
                <w:szCs w:val="19"/>
              </w:rPr>
            </w:pPr>
            <w:r w:rsidRPr="002B29C9">
              <w:rPr>
                <w:rFonts w:ascii="DejaVuSans" w:hAnsi="DejaVuSans" w:cs="DejaVuSans"/>
                <w:sz w:val="19"/>
                <w:szCs w:val="19"/>
              </w:rPr>
              <w:t>Tous les sanitaires sont équipés d'un système d'appel</w:t>
            </w:r>
            <w:r>
              <w:rPr>
                <w:rFonts w:ascii="DejaVuSans" w:hAnsi="DejaVuSans" w:cs="DejaVuSans"/>
                <w:sz w:val="19"/>
                <w:szCs w:val="19"/>
              </w:rPr>
              <w:t>.</w:t>
            </w:r>
          </w:p>
          <w:p w14:paraId="06D5AFB9" w14:textId="39678F5E" w:rsidR="00D17407" w:rsidRPr="00D17407" w:rsidRDefault="00D17407" w:rsidP="00D1740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9"/>
                <w:szCs w:val="19"/>
              </w:rPr>
            </w:pPr>
            <w:r w:rsidRPr="00D17407">
              <w:rPr>
                <w:rFonts w:ascii="DejaVuSans" w:hAnsi="DejaVuSans" w:cs="DejaVuSans"/>
                <w:sz w:val="19"/>
                <w:szCs w:val="19"/>
              </w:rPr>
              <w:t>§ 2. Toutes les chambres doivent être pourvues d'un appareil fixe, destiné à enregistrer la réponse donnée à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D17407">
              <w:rPr>
                <w:rFonts w:ascii="DejaVuSans" w:hAnsi="DejaVuSans" w:cs="DejaVuSans"/>
                <w:sz w:val="19"/>
                <w:szCs w:val="19"/>
              </w:rPr>
              <w:t>l'appel.</w:t>
            </w:r>
          </w:p>
          <w:p w14:paraId="29C66F06" w14:textId="29D986C9" w:rsidR="00D17407" w:rsidRPr="00D17407" w:rsidRDefault="00D17407" w:rsidP="00D17407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9"/>
                <w:szCs w:val="19"/>
              </w:rPr>
            </w:pPr>
            <w:r w:rsidRPr="00D17407">
              <w:rPr>
                <w:rFonts w:ascii="DejaVuSans" w:hAnsi="DejaVuSans" w:cs="DejaVuSans"/>
                <w:sz w:val="19"/>
                <w:szCs w:val="19"/>
              </w:rPr>
              <w:t>Tout appel, le temps nécessaire pour y répondre ainsi que la réponse donnée à celui-ci doivent être consignés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D17407">
              <w:rPr>
                <w:rFonts w:ascii="DejaVuSans" w:hAnsi="DejaVuSans" w:cs="DejaVuSans"/>
                <w:sz w:val="19"/>
                <w:szCs w:val="19"/>
              </w:rPr>
              <w:t>par l'établissement. Ces informations doivent être conservés au minimum trois mois.</w:t>
            </w:r>
          </w:p>
          <w:p w14:paraId="4A86E208" w14:textId="4427A793" w:rsidR="002B29C9" w:rsidRPr="00D17407" w:rsidRDefault="00D17407" w:rsidP="00D17407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D17407">
              <w:rPr>
                <w:rFonts w:ascii="DejaVuSans" w:hAnsi="DejaVuSans" w:cs="DejaVuSans"/>
                <w:sz w:val="19"/>
                <w:szCs w:val="19"/>
              </w:rPr>
              <w:lastRenderedPageBreak/>
              <w:t>Le système d'appel doit, en outre, être équipé d'une source de courant permettant d'assurer le fonctionnement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D17407">
              <w:rPr>
                <w:rFonts w:ascii="DejaVuSans" w:hAnsi="DejaVuSans" w:cs="DejaVuSans"/>
                <w:sz w:val="19"/>
                <w:szCs w:val="19"/>
              </w:rPr>
              <w:t>du système d'appel pendant une heure lors d'une interruption de courant.</w:t>
            </w:r>
          </w:p>
        </w:tc>
        <w:tc>
          <w:tcPr>
            <w:tcW w:w="2402" w:type="dxa"/>
          </w:tcPr>
          <w:p w14:paraId="339A3701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BE"/>
              </w:rPr>
              <w:lastRenderedPageBreak/>
              <w:t>…..</w:t>
            </w:r>
          </w:p>
        </w:tc>
        <w:tc>
          <w:tcPr>
            <w:tcW w:w="2551" w:type="dxa"/>
          </w:tcPr>
          <w:p w14:paraId="3E3D02FF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NL"/>
              </w:rPr>
              <w:t>……</w:t>
            </w:r>
          </w:p>
        </w:tc>
      </w:tr>
      <w:tr w:rsidR="00654ACB" w:rsidRPr="00C00BBF" w14:paraId="32D414AD" w14:textId="77777777" w:rsidTr="00693EAE">
        <w:tc>
          <w:tcPr>
            <w:tcW w:w="846" w:type="dxa"/>
          </w:tcPr>
          <w:p w14:paraId="75923154" w14:textId="65471612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65594D">
              <w:rPr>
                <w:rFonts w:asciiTheme="minorHAnsi" w:hAnsiTheme="minorHAnsi"/>
                <w:sz w:val="18"/>
                <w:szCs w:val="18"/>
                <w:lang w:val="nl-BE"/>
              </w:rPr>
              <w:t>179, §1</w:t>
            </w:r>
          </w:p>
        </w:tc>
        <w:tc>
          <w:tcPr>
            <w:tcW w:w="1713" w:type="dxa"/>
          </w:tcPr>
          <w:p w14:paraId="047B58B5" w14:textId="6C2FC42C" w:rsidR="00654ACB" w:rsidRPr="0065594D" w:rsidRDefault="003A1A2F" w:rsidP="00654ACB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  <w:r>
              <w:rPr>
                <w:rFonts w:ascii="DejaVuSans" w:hAnsi="DejaVuSans" w:cs="DejaVuSans"/>
                <w:sz w:val="19"/>
                <w:szCs w:val="19"/>
                <w:lang w:val="nl-BE"/>
              </w:rPr>
              <w:t>M</w:t>
            </w:r>
            <w:r w:rsidR="00B75368">
              <w:rPr>
                <w:rFonts w:ascii="DejaVuSans" w:hAnsi="DejaVuSans" w:cs="DejaVuSans"/>
                <w:sz w:val="19"/>
                <w:szCs w:val="19"/>
                <w:lang w:val="nl-BE"/>
              </w:rPr>
              <w:t>aisons de repos</w:t>
            </w:r>
          </w:p>
        </w:tc>
        <w:tc>
          <w:tcPr>
            <w:tcW w:w="2264" w:type="dxa"/>
          </w:tcPr>
          <w:p w14:paraId="0B06CE88" w14:textId="1BC7C23F" w:rsidR="00654ACB" w:rsidRPr="006370A9" w:rsidRDefault="006370A9" w:rsidP="006370A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6370A9">
              <w:rPr>
                <w:rFonts w:ascii="DejaVuSans" w:hAnsi="DejaVuSans" w:cs="DejaVuSans"/>
                <w:sz w:val="19"/>
                <w:szCs w:val="19"/>
              </w:rPr>
              <w:t>Pour les établissements mis en exploitation après le 1er janvier 2010 et les établissements mis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6370A9">
              <w:rPr>
                <w:rFonts w:ascii="DejaVuSans" w:hAnsi="DejaVuSans" w:cs="DejaVuSans"/>
                <w:sz w:val="19"/>
                <w:szCs w:val="19"/>
              </w:rPr>
              <w:t xml:space="preserve">en exploitation avant le 1er janvier 2010 et qui effectuent </w:t>
            </w:r>
            <w:r w:rsidR="003A1A2F">
              <w:rPr>
                <w:rFonts w:ascii="DejaVuSans" w:hAnsi="DejaVuSans" w:cs="DejaVuSans"/>
                <w:sz w:val="19"/>
                <w:szCs w:val="19"/>
              </w:rPr>
              <w:t>aux</w:t>
            </w:r>
            <w:r w:rsidRPr="006370A9">
              <w:rPr>
                <w:rFonts w:ascii="DejaVuSans" w:hAnsi="DejaVuSans" w:cs="DejaVuSans"/>
                <w:sz w:val="19"/>
                <w:szCs w:val="19"/>
              </w:rPr>
              <w:t xml:space="preserve"> chambres des travaux de transformation ou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6370A9">
              <w:rPr>
                <w:rFonts w:ascii="DejaVuSans" w:hAnsi="DejaVuSans" w:cs="DejaVuSans"/>
                <w:sz w:val="19"/>
                <w:szCs w:val="19"/>
              </w:rPr>
              <w:t xml:space="preserve">d'extension, chaque chambre comporte une </w:t>
            </w:r>
            <w:r w:rsidRPr="006370A9">
              <w:rPr>
                <w:rFonts w:ascii="DejaVuSans" w:hAnsi="DejaVuSans" w:cs="DejaVuSans"/>
                <w:b/>
                <w:bCs/>
                <w:sz w:val="19"/>
                <w:szCs w:val="19"/>
              </w:rPr>
              <w:t>installation sanitaire</w:t>
            </w:r>
            <w:r w:rsidRPr="006370A9">
              <w:rPr>
                <w:rFonts w:ascii="DejaVuSans" w:hAnsi="DejaVuSans" w:cs="DejaVuSans"/>
                <w:sz w:val="19"/>
                <w:szCs w:val="19"/>
              </w:rPr>
              <w:t xml:space="preserve"> séparée de la chambre et accessible aux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6370A9">
              <w:rPr>
                <w:rFonts w:ascii="DejaVuSans" w:hAnsi="DejaVuSans" w:cs="DejaVuSans"/>
                <w:sz w:val="19"/>
                <w:szCs w:val="19"/>
              </w:rPr>
              <w:t>personnes à mobilité réduite, comprenant une toilette, un lavabo, un miroir et une douche ou baignoire.</w:t>
            </w:r>
          </w:p>
        </w:tc>
        <w:tc>
          <w:tcPr>
            <w:tcW w:w="2402" w:type="dxa"/>
          </w:tcPr>
          <w:p w14:paraId="1F2DE26B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BE"/>
              </w:rPr>
              <w:t>…..</w:t>
            </w:r>
          </w:p>
        </w:tc>
        <w:tc>
          <w:tcPr>
            <w:tcW w:w="2551" w:type="dxa"/>
          </w:tcPr>
          <w:p w14:paraId="3E53E063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NL"/>
              </w:rPr>
              <w:t>……</w:t>
            </w:r>
          </w:p>
        </w:tc>
      </w:tr>
      <w:tr w:rsidR="00654ACB" w:rsidRPr="00C00BBF" w14:paraId="6A30F34E" w14:textId="77777777" w:rsidTr="00693EAE">
        <w:tc>
          <w:tcPr>
            <w:tcW w:w="846" w:type="dxa"/>
          </w:tcPr>
          <w:p w14:paraId="0D29FB1B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65594D">
              <w:rPr>
                <w:rFonts w:asciiTheme="minorHAnsi" w:hAnsiTheme="minorHAnsi"/>
                <w:sz w:val="18"/>
                <w:szCs w:val="18"/>
                <w:lang w:val="nl-BE"/>
              </w:rPr>
              <w:t>183</w:t>
            </w:r>
          </w:p>
        </w:tc>
        <w:tc>
          <w:tcPr>
            <w:tcW w:w="1713" w:type="dxa"/>
          </w:tcPr>
          <w:p w14:paraId="1E92EE83" w14:textId="7F85ADC3" w:rsidR="00654ACB" w:rsidRPr="0065594D" w:rsidRDefault="003A1A2F" w:rsidP="00654ACB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  <w:r>
              <w:rPr>
                <w:rFonts w:ascii="DejaVuSans" w:hAnsi="DejaVuSans" w:cs="DejaVuSans"/>
                <w:sz w:val="19"/>
                <w:szCs w:val="19"/>
                <w:lang w:val="nl-BE"/>
              </w:rPr>
              <w:t>M</w:t>
            </w:r>
            <w:r w:rsidR="00B75368">
              <w:rPr>
                <w:rFonts w:ascii="DejaVuSans" w:hAnsi="DejaVuSans" w:cs="DejaVuSans"/>
                <w:sz w:val="19"/>
                <w:szCs w:val="19"/>
                <w:lang w:val="nl-BE"/>
              </w:rPr>
              <w:t>aisons de repos</w:t>
            </w:r>
          </w:p>
        </w:tc>
        <w:tc>
          <w:tcPr>
            <w:tcW w:w="2264" w:type="dxa"/>
          </w:tcPr>
          <w:p w14:paraId="2EFB411A" w14:textId="513C9521" w:rsidR="006370A9" w:rsidRPr="006370A9" w:rsidRDefault="006370A9" w:rsidP="006370A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9"/>
                <w:szCs w:val="19"/>
              </w:rPr>
            </w:pPr>
            <w:r w:rsidRPr="006370A9">
              <w:rPr>
                <w:rFonts w:ascii="DejaVuSans" w:hAnsi="DejaVuSans" w:cs="DejaVuSans"/>
                <w:sz w:val="19"/>
                <w:szCs w:val="19"/>
              </w:rPr>
              <w:t>Tous les locaux accessibles aux habitants sont pourvus d'un système intérieur permettant aux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6370A9">
              <w:rPr>
                <w:rFonts w:ascii="DejaVuSans" w:hAnsi="DejaVuSans" w:cs="DejaVuSans"/>
                <w:sz w:val="19"/>
                <w:szCs w:val="19"/>
              </w:rPr>
              <w:t xml:space="preserve">habitants d'être </w:t>
            </w:r>
            <w:r w:rsidRPr="006370A9">
              <w:rPr>
                <w:rFonts w:ascii="DejaVuSans" w:hAnsi="DejaVuSans" w:cs="DejaVuSans"/>
                <w:b/>
                <w:bCs/>
                <w:sz w:val="19"/>
                <w:szCs w:val="19"/>
              </w:rPr>
              <w:t>protégés des rayons du soleil</w:t>
            </w:r>
            <w:r w:rsidRPr="006370A9">
              <w:rPr>
                <w:rFonts w:ascii="DejaVuSans" w:hAnsi="DejaVuSans" w:cs="DejaVuSans"/>
                <w:sz w:val="19"/>
                <w:szCs w:val="19"/>
              </w:rPr>
              <w:t>.</w:t>
            </w:r>
          </w:p>
          <w:p w14:paraId="5167C6DD" w14:textId="2356DDC1" w:rsidR="00654ACB" w:rsidRPr="006370A9" w:rsidRDefault="006370A9" w:rsidP="006370A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6370A9">
              <w:rPr>
                <w:rFonts w:ascii="DejaVuSans" w:hAnsi="DejaVuSans" w:cs="DejaVuSans"/>
                <w:sz w:val="19"/>
                <w:szCs w:val="19"/>
              </w:rPr>
              <w:t>A partir du 1er janvier 2034, toutes les fenêtres de l'établissement, à l'exception des fenêtres situées sur les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6370A9">
              <w:rPr>
                <w:rFonts w:ascii="DejaVuSans" w:hAnsi="DejaVuSans" w:cs="DejaVuSans"/>
                <w:sz w:val="19"/>
                <w:szCs w:val="19"/>
              </w:rPr>
              <w:t>façades orientées nord-est, nord, et nord-ouest, sont équipées en outre d'un système de protection solaire</w:t>
            </w:r>
            <w:r>
              <w:rPr>
                <w:rFonts w:ascii="DejaVuSans" w:hAnsi="DejaVuSans" w:cs="DejaVuSans"/>
                <w:sz w:val="19"/>
                <w:szCs w:val="19"/>
              </w:rPr>
              <w:t xml:space="preserve"> </w:t>
            </w:r>
            <w:r w:rsidRPr="006370A9">
              <w:rPr>
                <w:rFonts w:ascii="DejaVuSans" w:hAnsi="DejaVuSans" w:cs="DejaVuSans"/>
                <w:sz w:val="19"/>
                <w:szCs w:val="19"/>
              </w:rPr>
              <w:t>extérieur, afin d'éviter la surchauffe du bâtiment.</w:t>
            </w:r>
          </w:p>
        </w:tc>
        <w:tc>
          <w:tcPr>
            <w:tcW w:w="2402" w:type="dxa"/>
          </w:tcPr>
          <w:p w14:paraId="1544DBA3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BE"/>
              </w:rPr>
              <w:t>…..</w:t>
            </w:r>
          </w:p>
        </w:tc>
        <w:tc>
          <w:tcPr>
            <w:tcW w:w="2551" w:type="dxa"/>
          </w:tcPr>
          <w:p w14:paraId="0DAABD68" w14:textId="77777777" w:rsidR="00654ACB" w:rsidRPr="0065594D" w:rsidRDefault="00654ACB" w:rsidP="00654ACB">
            <w:pPr>
              <w:rPr>
                <w:rFonts w:cs="Calibri"/>
                <w:sz w:val="18"/>
                <w:szCs w:val="18"/>
                <w:lang w:val="nl-NL"/>
              </w:rPr>
            </w:pPr>
            <w:r w:rsidRPr="00F52A40">
              <w:rPr>
                <w:rFonts w:cs="Calibri"/>
                <w:sz w:val="18"/>
                <w:szCs w:val="18"/>
                <w:highlight w:val="yellow"/>
                <w:lang w:val="nl-NL"/>
              </w:rPr>
              <w:t>……</w:t>
            </w:r>
          </w:p>
        </w:tc>
      </w:tr>
    </w:tbl>
    <w:p w14:paraId="72F2DDD6" w14:textId="1DAA8200" w:rsidR="007D51ED" w:rsidRDefault="007D51ED" w:rsidP="00713D66">
      <w:pPr>
        <w:rPr>
          <w:rFonts w:ascii="Calibri" w:hAnsi="Calibri" w:cs="Calibri"/>
          <w:lang w:val="nl-NL"/>
        </w:rPr>
      </w:pPr>
    </w:p>
    <w:p w14:paraId="3149EFF3" w14:textId="77777777" w:rsidR="007D51ED" w:rsidRDefault="007D51ED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br w:type="page"/>
      </w:r>
    </w:p>
    <w:p w14:paraId="5F781AD7" w14:textId="77777777" w:rsidR="00713D66" w:rsidRPr="00C00BBF" w:rsidRDefault="00713D66" w:rsidP="00713D66">
      <w:pPr>
        <w:rPr>
          <w:rFonts w:ascii="Calibri" w:hAnsi="Calibri" w:cs="Calibri"/>
          <w:lang w:val="nl-NL"/>
        </w:rPr>
      </w:pPr>
    </w:p>
    <w:p w14:paraId="622FFA49" w14:textId="702D816B" w:rsidR="002A0A1C" w:rsidRPr="002A0A1C" w:rsidRDefault="002A0A1C" w:rsidP="002A0A1C">
      <w:pPr>
        <w:spacing w:after="0"/>
        <w:jc w:val="both"/>
        <w:rPr>
          <w:rFonts w:cs="Calibri"/>
        </w:rPr>
      </w:pPr>
      <w:bookmarkStart w:id="0" w:name="_Hlk48660917"/>
      <w:r w:rsidRPr="002A0A1C">
        <w:rPr>
          <w:rFonts w:cs="Calibri"/>
        </w:rPr>
        <w:t xml:space="preserve">Je </w:t>
      </w:r>
      <w:r w:rsidR="00213F71" w:rsidRPr="002A0A1C">
        <w:rPr>
          <w:rFonts w:cs="Calibri"/>
        </w:rPr>
        <w:t>joins les</w:t>
      </w:r>
      <w:r w:rsidRPr="002A0A1C">
        <w:rPr>
          <w:rFonts w:cs="Calibri"/>
        </w:rPr>
        <w:t xml:space="preserve"> pièces </w:t>
      </w:r>
      <w:r w:rsidR="00314DBA">
        <w:rPr>
          <w:rFonts w:cs="Calibri"/>
        </w:rPr>
        <w:t xml:space="preserve">suivantes qui </w:t>
      </w:r>
      <w:r w:rsidRPr="002A0A1C">
        <w:rPr>
          <w:rFonts w:cs="Calibri"/>
        </w:rPr>
        <w:t>justifi</w:t>
      </w:r>
      <w:r w:rsidR="00314DBA">
        <w:rPr>
          <w:rFonts w:cs="Calibri"/>
        </w:rPr>
        <w:t>ent ma demande</w:t>
      </w:r>
      <w:r w:rsidR="003A1A2F">
        <w:rPr>
          <w:rFonts w:cs="Calibri"/>
        </w:rPr>
        <w:t xml:space="preserve"> </w:t>
      </w:r>
      <w:r w:rsidRPr="002A0A1C">
        <w:rPr>
          <w:rFonts w:cs="Calibri"/>
        </w:rPr>
        <w:t>:</w:t>
      </w:r>
    </w:p>
    <w:p w14:paraId="65A1A918" w14:textId="6E8A85D2" w:rsidR="002A0A1C" w:rsidRDefault="002A0A1C" w:rsidP="002A0A1C">
      <w:pPr>
        <w:spacing w:after="0"/>
        <w:jc w:val="both"/>
        <w:rPr>
          <w:rFonts w:cs="Calibri"/>
        </w:rPr>
      </w:pPr>
    </w:p>
    <w:bookmarkEnd w:id="0"/>
    <w:p w14:paraId="3C78258A" w14:textId="77777777" w:rsidR="007D51ED" w:rsidRPr="004276ED" w:rsidRDefault="007D51ED" w:rsidP="007D51ED">
      <w:pPr>
        <w:jc w:val="both"/>
        <w:rPr>
          <w:rFonts w:cs="Calibri"/>
        </w:rPr>
      </w:pPr>
    </w:p>
    <w:p w14:paraId="6844ED48" w14:textId="77777777" w:rsidR="007D51ED" w:rsidRPr="0065594D" w:rsidRDefault="007D51ED" w:rsidP="007D51ED">
      <w:pPr>
        <w:pStyle w:val="Lijstalinea"/>
        <w:numPr>
          <w:ilvl w:val="0"/>
          <w:numId w:val="26"/>
        </w:numPr>
        <w:spacing w:after="0" w:line="240" w:lineRule="auto"/>
        <w:jc w:val="both"/>
        <w:rPr>
          <w:rFonts w:cs="Calibri"/>
          <w:highlight w:val="yellow"/>
          <w:lang w:val="nl-BE"/>
        </w:rPr>
      </w:pPr>
      <w:r w:rsidRPr="0065594D">
        <w:rPr>
          <w:rFonts w:cs="Calibri"/>
          <w:highlight w:val="yellow"/>
          <w:lang w:val="nl-BE"/>
        </w:rPr>
        <w:t>…………………………………………………………….….</w:t>
      </w:r>
    </w:p>
    <w:p w14:paraId="374FCE4E" w14:textId="77777777" w:rsidR="007D51ED" w:rsidRPr="0065594D" w:rsidRDefault="007D51ED" w:rsidP="007D51ED">
      <w:pPr>
        <w:pStyle w:val="Lijstalinea"/>
        <w:numPr>
          <w:ilvl w:val="0"/>
          <w:numId w:val="26"/>
        </w:numPr>
        <w:spacing w:after="0" w:line="240" w:lineRule="auto"/>
        <w:jc w:val="both"/>
        <w:rPr>
          <w:rFonts w:cs="Calibri"/>
          <w:highlight w:val="yellow"/>
          <w:lang w:val="nl-BE"/>
        </w:rPr>
      </w:pPr>
      <w:r w:rsidRPr="0065594D">
        <w:rPr>
          <w:rFonts w:cs="Calibri"/>
          <w:highlight w:val="yellow"/>
          <w:lang w:val="nl-BE"/>
        </w:rPr>
        <w:t>…………………………………………………………….….</w:t>
      </w:r>
    </w:p>
    <w:p w14:paraId="0BAA5670" w14:textId="77777777" w:rsidR="007D51ED" w:rsidRPr="0065594D" w:rsidRDefault="007D51ED" w:rsidP="007D51ED">
      <w:pPr>
        <w:pStyle w:val="Lijstalinea"/>
        <w:numPr>
          <w:ilvl w:val="0"/>
          <w:numId w:val="26"/>
        </w:numPr>
        <w:spacing w:after="0" w:line="240" w:lineRule="auto"/>
        <w:jc w:val="both"/>
        <w:rPr>
          <w:rFonts w:cs="Calibri"/>
          <w:highlight w:val="yellow"/>
          <w:lang w:val="nl-BE"/>
        </w:rPr>
      </w:pPr>
      <w:r w:rsidRPr="0065594D">
        <w:rPr>
          <w:rFonts w:cs="Calibri"/>
          <w:highlight w:val="yellow"/>
          <w:lang w:val="nl-BE"/>
        </w:rPr>
        <w:t>…………………………………………………………….….</w:t>
      </w:r>
    </w:p>
    <w:p w14:paraId="20C2C0D6" w14:textId="77777777" w:rsidR="007D51ED" w:rsidRPr="0065594D" w:rsidRDefault="007D51ED" w:rsidP="007D51ED">
      <w:pPr>
        <w:pStyle w:val="Lijstalinea"/>
        <w:numPr>
          <w:ilvl w:val="0"/>
          <w:numId w:val="26"/>
        </w:numPr>
        <w:spacing w:after="0" w:line="240" w:lineRule="auto"/>
        <w:jc w:val="both"/>
        <w:rPr>
          <w:rFonts w:cs="Calibri"/>
          <w:highlight w:val="yellow"/>
          <w:lang w:val="nl-BE"/>
        </w:rPr>
      </w:pPr>
      <w:r w:rsidRPr="0065594D">
        <w:rPr>
          <w:rFonts w:cs="Calibri"/>
          <w:highlight w:val="yellow"/>
          <w:lang w:val="nl-BE"/>
        </w:rPr>
        <w:t>…………………………………………………………….….</w:t>
      </w:r>
    </w:p>
    <w:p w14:paraId="6A6C836B" w14:textId="77777777" w:rsidR="007D51ED" w:rsidRPr="0065594D" w:rsidRDefault="007D51ED" w:rsidP="007D51ED">
      <w:pPr>
        <w:pStyle w:val="Lijstalinea"/>
        <w:numPr>
          <w:ilvl w:val="0"/>
          <w:numId w:val="26"/>
        </w:numPr>
        <w:spacing w:after="0" w:line="240" w:lineRule="auto"/>
        <w:jc w:val="both"/>
        <w:rPr>
          <w:rFonts w:cs="Calibri"/>
          <w:highlight w:val="yellow"/>
          <w:lang w:val="nl-BE"/>
        </w:rPr>
      </w:pPr>
      <w:r w:rsidRPr="0065594D">
        <w:rPr>
          <w:rFonts w:cs="Calibri"/>
          <w:highlight w:val="yellow"/>
          <w:lang w:val="nl-BE"/>
        </w:rPr>
        <w:t>…………………………………………………………….….</w:t>
      </w:r>
    </w:p>
    <w:p w14:paraId="5FFA8A1E" w14:textId="77777777" w:rsidR="007D51ED" w:rsidRPr="0065594D" w:rsidRDefault="007D51ED" w:rsidP="007D51ED">
      <w:pPr>
        <w:pStyle w:val="Lijstalinea"/>
        <w:numPr>
          <w:ilvl w:val="0"/>
          <w:numId w:val="26"/>
        </w:numPr>
        <w:spacing w:after="0" w:line="240" w:lineRule="auto"/>
        <w:jc w:val="both"/>
        <w:rPr>
          <w:rFonts w:cs="Calibri"/>
          <w:highlight w:val="yellow"/>
          <w:lang w:val="nl-BE"/>
        </w:rPr>
      </w:pPr>
      <w:r w:rsidRPr="0065594D">
        <w:rPr>
          <w:rFonts w:cs="Calibri"/>
          <w:highlight w:val="yellow"/>
          <w:lang w:val="nl-BE"/>
        </w:rPr>
        <w:t>…………………………………………………………….….</w:t>
      </w:r>
    </w:p>
    <w:p w14:paraId="29919078" w14:textId="77777777" w:rsidR="007D51ED" w:rsidRPr="0065594D" w:rsidRDefault="007D51ED" w:rsidP="007D51ED">
      <w:pPr>
        <w:pStyle w:val="Lijstalinea"/>
        <w:numPr>
          <w:ilvl w:val="0"/>
          <w:numId w:val="26"/>
        </w:numPr>
        <w:spacing w:after="0" w:line="240" w:lineRule="auto"/>
        <w:jc w:val="both"/>
        <w:rPr>
          <w:rFonts w:cs="Calibri"/>
          <w:highlight w:val="yellow"/>
          <w:lang w:val="nl-BE"/>
        </w:rPr>
      </w:pPr>
      <w:r w:rsidRPr="0065594D">
        <w:rPr>
          <w:rFonts w:cs="Calibri"/>
          <w:highlight w:val="yellow"/>
          <w:lang w:val="nl-BE"/>
        </w:rPr>
        <w:t>…………………………………………………………….….</w:t>
      </w:r>
    </w:p>
    <w:p w14:paraId="506010D4" w14:textId="77777777" w:rsidR="007D51ED" w:rsidRPr="0065594D" w:rsidRDefault="007D51ED" w:rsidP="007D51ED">
      <w:pPr>
        <w:pStyle w:val="Lijstalinea"/>
        <w:numPr>
          <w:ilvl w:val="0"/>
          <w:numId w:val="26"/>
        </w:numPr>
        <w:spacing w:after="0" w:line="240" w:lineRule="auto"/>
        <w:jc w:val="both"/>
        <w:rPr>
          <w:rFonts w:cs="Calibri"/>
          <w:highlight w:val="yellow"/>
          <w:lang w:val="nl-BE"/>
        </w:rPr>
      </w:pPr>
      <w:r w:rsidRPr="0065594D">
        <w:rPr>
          <w:rFonts w:cs="Calibri"/>
          <w:highlight w:val="yellow"/>
          <w:lang w:val="nl-BE"/>
        </w:rPr>
        <w:t>…………………………………………………………….….</w:t>
      </w:r>
    </w:p>
    <w:p w14:paraId="10726890" w14:textId="77777777" w:rsidR="007D51ED" w:rsidRPr="0065594D" w:rsidRDefault="007D51ED" w:rsidP="007D51ED">
      <w:pPr>
        <w:jc w:val="both"/>
        <w:rPr>
          <w:rFonts w:cs="Calibri"/>
          <w:lang w:val="nl-BE"/>
        </w:rPr>
      </w:pPr>
    </w:p>
    <w:p w14:paraId="349FE2ED" w14:textId="77777777" w:rsidR="007D51ED" w:rsidRDefault="007D51ED" w:rsidP="007D51ED">
      <w:pPr>
        <w:shd w:val="clear" w:color="auto" w:fill="FFFFFF"/>
        <w:rPr>
          <w:rFonts w:cs="Calibri"/>
          <w:lang w:val="nl-BE"/>
        </w:rPr>
      </w:pPr>
    </w:p>
    <w:p w14:paraId="07853DB2" w14:textId="40CB5CEB" w:rsidR="002A0A1C" w:rsidRDefault="002A0A1C" w:rsidP="00314DBA">
      <w:pPr>
        <w:shd w:val="clear" w:color="auto" w:fill="FFFFFF"/>
        <w:jc w:val="both"/>
        <w:rPr>
          <w:rFonts w:cs="Calibri"/>
          <w:lang w:eastAsia="nl-BE"/>
        </w:rPr>
      </w:pPr>
      <w:r w:rsidRPr="00182517">
        <w:rPr>
          <w:rFonts w:cs="Calibri"/>
          <w:lang w:eastAsia="nl-BE"/>
        </w:rPr>
        <w:t>Date</w:t>
      </w:r>
      <w:r w:rsidR="003A1A2F">
        <w:rPr>
          <w:rFonts w:cs="Calibri"/>
          <w:lang w:eastAsia="nl-BE"/>
        </w:rPr>
        <w:t xml:space="preserve"> </w:t>
      </w:r>
      <w:r w:rsidRPr="00182517">
        <w:rPr>
          <w:rFonts w:cs="Calibri"/>
          <w:lang w:eastAsia="nl-BE"/>
        </w:rPr>
        <w:t>:</w:t>
      </w:r>
      <w:r w:rsidR="003A1A2F">
        <w:rPr>
          <w:rFonts w:cs="Calibri"/>
          <w:lang w:eastAsia="nl-BE"/>
        </w:rPr>
        <w:t xml:space="preserve"> </w:t>
      </w:r>
      <w:r w:rsidR="003A1A2F" w:rsidRPr="0065594D">
        <w:rPr>
          <w:rFonts w:cstheme="minorHAnsi"/>
          <w:highlight w:val="yellow"/>
          <w:lang w:val="nl-BE" w:eastAsia="nl-BE"/>
        </w:rPr>
        <w:t>[xx/xx/xxxx]</w:t>
      </w:r>
    </w:p>
    <w:p w14:paraId="4C4FA6BA" w14:textId="2C2D668C" w:rsidR="00314DBA" w:rsidRDefault="00314DBA" w:rsidP="00314DBA">
      <w:pPr>
        <w:shd w:val="clear" w:color="auto" w:fill="FFFFFF"/>
        <w:jc w:val="both"/>
        <w:rPr>
          <w:rFonts w:cs="Calibri"/>
          <w:lang w:eastAsia="nl-BE"/>
        </w:rPr>
      </w:pPr>
      <w:r w:rsidRPr="00182517">
        <w:rPr>
          <w:rFonts w:cs="Calibri"/>
          <w:lang w:eastAsia="nl-BE"/>
        </w:rPr>
        <w:t>Signature du gestionnaire</w:t>
      </w:r>
      <w:r w:rsidR="003A1A2F">
        <w:rPr>
          <w:rFonts w:cs="Calibri"/>
          <w:lang w:eastAsia="nl-BE"/>
        </w:rPr>
        <w:t xml:space="preserve"> :</w:t>
      </w:r>
    </w:p>
    <w:p w14:paraId="238C553E" w14:textId="448B1614" w:rsidR="00EF71F5" w:rsidRDefault="00314DBA" w:rsidP="001C224C">
      <w:pPr>
        <w:shd w:val="clear" w:color="auto" w:fill="FFFFFF"/>
        <w:ind w:left="4956"/>
        <w:rPr>
          <w:rFonts w:cs="Calibri"/>
        </w:rPr>
      </w:pPr>
      <w:r>
        <w:rPr>
          <w:rFonts w:cs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4CBAC" wp14:editId="4026482C">
                <wp:simplePos x="0" y="0"/>
                <wp:positionH relativeFrom="column">
                  <wp:posOffset>-67280</wp:posOffset>
                </wp:positionH>
                <wp:positionV relativeFrom="paragraph">
                  <wp:posOffset>146050</wp:posOffset>
                </wp:positionV>
                <wp:extent cx="2544792" cy="1069675"/>
                <wp:effectExtent l="0" t="0" r="27305" b="16510"/>
                <wp:wrapNone/>
                <wp:docPr id="5" name="Rechthoek: afgeronde ho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792" cy="1069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811CA" id="Rechthoek: afgeronde hoeken 5" o:spid="_x0000_s1026" style="position:absolute;margin-left:-5.3pt;margin-top:11.5pt;width:200.4pt;height:8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" filled="f" strokecolor="#243f60 [1604]" strokeweight="2pt"/>
            </w:pict>
          </mc:Fallback>
        </mc:AlternateContent>
      </w:r>
    </w:p>
    <w:p w14:paraId="26DADDDA" w14:textId="357DACD8" w:rsidR="001C224C" w:rsidRDefault="001C224C" w:rsidP="001C224C">
      <w:pPr>
        <w:shd w:val="clear" w:color="auto" w:fill="FFFFFF"/>
        <w:ind w:left="4956"/>
        <w:rPr>
          <w:rFonts w:cs="Calibri"/>
        </w:rPr>
      </w:pPr>
    </w:p>
    <w:p w14:paraId="315C9A3C" w14:textId="4895B960" w:rsidR="001C224C" w:rsidRDefault="001C224C" w:rsidP="001C224C">
      <w:pPr>
        <w:shd w:val="clear" w:color="auto" w:fill="FFFFFF"/>
        <w:ind w:left="4956"/>
        <w:rPr>
          <w:rFonts w:cs="Calibri"/>
        </w:rPr>
      </w:pPr>
    </w:p>
    <w:p w14:paraId="32F57FF4" w14:textId="77777777" w:rsidR="001C224C" w:rsidRPr="00182517" w:rsidRDefault="001C224C" w:rsidP="001C224C">
      <w:pPr>
        <w:shd w:val="clear" w:color="auto" w:fill="FFFFFF"/>
        <w:ind w:left="4956"/>
        <w:rPr>
          <w:rFonts w:cs="Calibri"/>
        </w:rPr>
      </w:pPr>
    </w:p>
    <w:sectPr w:rsidR="001C224C" w:rsidRPr="00182517" w:rsidSect="00A820C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AEB4" w14:textId="77777777" w:rsidR="00FC0BB2" w:rsidRDefault="00FC0BB2" w:rsidP="00653FBF">
      <w:pPr>
        <w:spacing w:after="0" w:line="240" w:lineRule="auto"/>
      </w:pPr>
      <w:r>
        <w:separator/>
      </w:r>
    </w:p>
  </w:endnote>
  <w:endnote w:type="continuationSeparator" w:id="0">
    <w:p w14:paraId="6154DA47" w14:textId="77777777" w:rsidR="00FC0BB2" w:rsidRDefault="00FC0BB2" w:rsidP="0065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34F7" w14:textId="4AF6F751" w:rsidR="006A0D8D" w:rsidRDefault="006A0D8D">
    <w:pPr>
      <w:pStyle w:val="Voettekst"/>
    </w:pPr>
  </w:p>
  <w:p w14:paraId="59CEB0A9" w14:textId="5E75FEC8" w:rsidR="00BB06FC" w:rsidRDefault="00BB06FC" w:rsidP="005E1C65">
    <w:pPr>
      <w:pStyle w:val="Voettekst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6F80" w14:textId="24BFC603" w:rsidR="006A0D8D" w:rsidRDefault="006A0D8D">
    <w:pPr>
      <w:pStyle w:val="Voettekst"/>
    </w:pPr>
  </w:p>
  <w:p w14:paraId="4FDF0D71" w14:textId="16F2F652" w:rsidR="00B24D88" w:rsidRDefault="00B24D88" w:rsidP="00B24D88">
    <w:pPr>
      <w:pStyle w:val="Voetteks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F23D" w14:textId="77777777" w:rsidR="00FC0BB2" w:rsidRDefault="00FC0BB2" w:rsidP="00653FBF">
      <w:pPr>
        <w:spacing w:after="0" w:line="240" w:lineRule="auto"/>
      </w:pPr>
      <w:r>
        <w:separator/>
      </w:r>
    </w:p>
  </w:footnote>
  <w:footnote w:type="continuationSeparator" w:id="0">
    <w:p w14:paraId="7877A9D1" w14:textId="77777777" w:rsidR="00FC0BB2" w:rsidRDefault="00FC0BB2" w:rsidP="0065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E4BB" w14:textId="77777777" w:rsidR="00653FBF" w:rsidRDefault="00653FBF" w:rsidP="00C72D14">
    <w:pPr>
      <w:pStyle w:val="Koptekst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EFDD" w14:textId="77777777" w:rsidR="0062232D" w:rsidRDefault="00B24D88" w:rsidP="00B24D88">
    <w:pPr>
      <w:pStyle w:val="Koptekst"/>
      <w:ind w:left="-1134"/>
    </w:pPr>
    <w:r>
      <w:rPr>
        <w:noProof/>
      </w:rPr>
      <w:drawing>
        <wp:inline distT="0" distB="0" distL="0" distR="0" wp14:anchorId="3974838C" wp14:editId="45E77224">
          <wp:extent cx="7488986" cy="1247775"/>
          <wp:effectExtent l="0" t="0" r="0" b="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n-tê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59" cy="126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21428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B66FE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0A8C1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FC79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699A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96414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DC74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24E7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C7A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E54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62E5B"/>
    <w:multiLevelType w:val="hybridMultilevel"/>
    <w:tmpl w:val="4E5E01D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009F0"/>
    <w:multiLevelType w:val="hybridMultilevel"/>
    <w:tmpl w:val="F2DEB0A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D2B3F"/>
    <w:multiLevelType w:val="hybridMultilevel"/>
    <w:tmpl w:val="844A70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C5D6F"/>
    <w:multiLevelType w:val="hybridMultilevel"/>
    <w:tmpl w:val="21BCACAA"/>
    <w:lvl w:ilvl="0" w:tplc="0E7CE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0F15"/>
    <w:multiLevelType w:val="hybridMultilevel"/>
    <w:tmpl w:val="177A101C"/>
    <w:lvl w:ilvl="0" w:tplc="6E6481E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F03E48"/>
    <w:multiLevelType w:val="hybridMultilevel"/>
    <w:tmpl w:val="061CA1C8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B86382"/>
    <w:multiLevelType w:val="hybridMultilevel"/>
    <w:tmpl w:val="004A8F8E"/>
    <w:lvl w:ilvl="0" w:tplc="DF58F2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5882"/>
    <w:multiLevelType w:val="hybridMultilevel"/>
    <w:tmpl w:val="A8C4FAE2"/>
    <w:lvl w:ilvl="0" w:tplc="9C889B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E3D61"/>
    <w:multiLevelType w:val="hybridMultilevel"/>
    <w:tmpl w:val="7CF896EE"/>
    <w:lvl w:ilvl="0" w:tplc="F75286D0">
      <w:start w:val="1"/>
      <w:numFmt w:val="lowerLetter"/>
      <w:lvlText w:val="%1."/>
      <w:lvlJc w:val="left"/>
      <w:pPr>
        <w:ind w:left="144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3" w:hanging="360"/>
      </w:pPr>
    </w:lvl>
    <w:lvl w:ilvl="2" w:tplc="080C001B" w:tentative="1">
      <w:start w:val="1"/>
      <w:numFmt w:val="lowerRoman"/>
      <w:lvlText w:val="%3."/>
      <w:lvlJc w:val="right"/>
      <w:pPr>
        <w:ind w:left="2883" w:hanging="180"/>
      </w:pPr>
    </w:lvl>
    <w:lvl w:ilvl="3" w:tplc="080C000F" w:tentative="1">
      <w:start w:val="1"/>
      <w:numFmt w:val="decimal"/>
      <w:lvlText w:val="%4."/>
      <w:lvlJc w:val="left"/>
      <w:pPr>
        <w:ind w:left="3603" w:hanging="360"/>
      </w:pPr>
    </w:lvl>
    <w:lvl w:ilvl="4" w:tplc="080C0019" w:tentative="1">
      <w:start w:val="1"/>
      <w:numFmt w:val="lowerLetter"/>
      <w:lvlText w:val="%5."/>
      <w:lvlJc w:val="left"/>
      <w:pPr>
        <w:ind w:left="4323" w:hanging="360"/>
      </w:pPr>
    </w:lvl>
    <w:lvl w:ilvl="5" w:tplc="080C001B" w:tentative="1">
      <w:start w:val="1"/>
      <w:numFmt w:val="lowerRoman"/>
      <w:lvlText w:val="%6."/>
      <w:lvlJc w:val="right"/>
      <w:pPr>
        <w:ind w:left="5043" w:hanging="180"/>
      </w:pPr>
    </w:lvl>
    <w:lvl w:ilvl="6" w:tplc="080C000F" w:tentative="1">
      <w:start w:val="1"/>
      <w:numFmt w:val="decimal"/>
      <w:lvlText w:val="%7."/>
      <w:lvlJc w:val="left"/>
      <w:pPr>
        <w:ind w:left="5763" w:hanging="360"/>
      </w:pPr>
    </w:lvl>
    <w:lvl w:ilvl="7" w:tplc="080C0019" w:tentative="1">
      <w:start w:val="1"/>
      <w:numFmt w:val="lowerLetter"/>
      <w:lvlText w:val="%8."/>
      <w:lvlJc w:val="left"/>
      <w:pPr>
        <w:ind w:left="6483" w:hanging="360"/>
      </w:pPr>
    </w:lvl>
    <w:lvl w:ilvl="8" w:tplc="080C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9" w15:restartNumberingAfterBreak="0">
    <w:nsid w:val="4A1F52FA"/>
    <w:multiLevelType w:val="hybridMultilevel"/>
    <w:tmpl w:val="23665D52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A9276F"/>
    <w:multiLevelType w:val="hybridMultilevel"/>
    <w:tmpl w:val="0D6670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F27D4"/>
    <w:multiLevelType w:val="hybridMultilevel"/>
    <w:tmpl w:val="035E83D4"/>
    <w:lvl w:ilvl="0" w:tplc="A6EAF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523B1"/>
    <w:multiLevelType w:val="hybridMultilevel"/>
    <w:tmpl w:val="CB20145C"/>
    <w:lvl w:ilvl="0" w:tplc="0813000F">
      <w:start w:val="1"/>
      <w:numFmt w:val="decimal"/>
      <w:lvlText w:val="%1."/>
      <w:lvlJc w:val="left"/>
      <w:pPr>
        <w:ind w:left="786" w:hanging="360"/>
      </w:pPr>
    </w:lvl>
    <w:lvl w:ilvl="1" w:tplc="08130019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DA094B"/>
    <w:multiLevelType w:val="hybridMultilevel"/>
    <w:tmpl w:val="004A8F8E"/>
    <w:lvl w:ilvl="0" w:tplc="DF58F2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D29C2"/>
    <w:multiLevelType w:val="hybridMultilevel"/>
    <w:tmpl w:val="852EDE28"/>
    <w:lvl w:ilvl="0" w:tplc="08130017">
      <w:start w:val="1"/>
      <w:numFmt w:val="lowerLetter"/>
      <w:lvlText w:val="%1)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5252DE"/>
    <w:multiLevelType w:val="hybridMultilevel"/>
    <w:tmpl w:val="CB20145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20"/>
  </w:num>
  <w:num w:numId="14">
    <w:abstractNumId w:val="17"/>
  </w:num>
  <w:num w:numId="15">
    <w:abstractNumId w:val="21"/>
  </w:num>
  <w:num w:numId="16">
    <w:abstractNumId w:val="19"/>
  </w:num>
  <w:num w:numId="17">
    <w:abstractNumId w:val="15"/>
  </w:num>
  <w:num w:numId="18">
    <w:abstractNumId w:val="10"/>
  </w:num>
  <w:num w:numId="19">
    <w:abstractNumId w:val="12"/>
  </w:num>
  <w:num w:numId="20">
    <w:abstractNumId w:val="25"/>
  </w:num>
  <w:num w:numId="21">
    <w:abstractNumId w:val="22"/>
  </w:num>
  <w:num w:numId="22">
    <w:abstractNumId w:val="24"/>
  </w:num>
  <w:num w:numId="23">
    <w:abstractNumId w:val="23"/>
  </w:num>
  <w:num w:numId="24">
    <w:abstractNumId w:val="18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46"/>
    <w:rsid w:val="00012F38"/>
    <w:rsid w:val="0001619A"/>
    <w:rsid w:val="000225DC"/>
    <w:rsid w:val="00060EED"/>
    <w:rsid w:val="000756A7"/>
    <w:rsid w:val="000B403F"/>
    <w:rsid w:val="000D03F7"/>
    <w:rsid w:val="0010795F"/>
    <w:rsid w:val="0014586C"/>
    <w:rsid w:val="00162606"/>
    <w:rsid w:val="00165AF1"/>
    <w:rsid w:val="001764BF"/>
    <w:rsid w:val="00182517"/>
    <w:rsid w:val="00190CB3"/>
    <w:rsid w:val="001A25FB"/>
    <w:rsid w:val="001B75DE"/>
    <w:rsid w:val="001B776E"/>
    <w:rsid w:val="001C224C"/>
    <w:rsid w:val="001C4258"/>
    <w:rsid w:val="001C6E3D"/>
    <w:rsid w:val="001D4C2E"/>
    <w:rsid w:val="001E3491"/>
    <w:rsid w:val="001E52C1"/>
    <w:rsid w:val="00213F71"/>
    <w:rsid w:val="00225388"/>
    <w:rsid w:val="0024060F"/>
    <w:rsid w:val="00280365"/>
    <w:rsid w:val="002933BC"/>
    <w:rsid w:val="002A0A1C"/>
    <w:rsid w:val="002A0B8D"/>
    <w:rsid w:val="002B1859"/>
    <w:rsid w:val="002B29C9"/>
    <w:rsid w:val="002D3AE5"/>
    <w:rsid w:val="002F14E6"/>
    <w:rsid w:val="0030079E"/>
    <w:rsid w:val="00313F0A"/>
    <w:rsid w:val="00314DBA"/>
    <w:rsid w:val="00317649"/>
    <w:rsid w:val="00347340"/>
    <w:rsid w:val="00355A19"/>
    <w:rsid w:val="003922CD"/>
    <w:rsid w:val="003A1A2F"/>
    <w:rsid w:val="003B03A0"/>
    <w:rsid w:val="003C0417"/>
    <w:rsid w:val="003D24FF"/>
    <w:rsid w:val="003D2C7E"/>
    <w:rsid w:val="003D3A65"/>
    <w:rsid w:val="004276ED"/>
    <w:rsid w:val="004307AA"/>
    <w:rsid w:val="00485EAC"/>
    <w:rsid w:val="00496DED"/>
    <w:rsid w:val="004C1C34"/>
    <w:rsid w:val="004C3E3B"/>
    <w:rsid w:val="004E3C7F"/>
    <w:rsid w:val="004E733A"/>
    <w:rsid w:val="005079C4"/>
    <w:rsid w:val="005130B9"/>
    <w:rsid w:val="00544990"/>
    <w:rsid w:val="00557934"/>
    <w:rsid w:val="00571A8B"/>
    <w:rsid w:val="00587389"/>
    <w:rsid w:val="005D0944"/>
    <w:rsid w:val="005E1446"/>
    <w:rsid w:val="005E1C65"/>
    <w:rsid w:val="0062232D"/>
    <w:rsid w:val="006357FF"/>
    <w:rsid w:val="006370A9"/>
    <w:rsid w:val="00645D5D"/>
    <w:rsid w:val="006532E4"/>
    <w:rsid w:val="00653FBF"/>
    <w:rsid w:val="00654ACB"/>
    <w:rsid w:val="00657DDB"/>
    <w:rsid w:val="0069247E"/>
    <w:rsid w:val="00693EAE"/>
    <w:rsid w:val="00694A41"/>
    <w:rsid w:val="006A0D8D"/>
    <w:rsid w:val="006A5B42"/>
    <w:rsid w:val="006C4FAF"/>
    <w:rsid w:val="006C70D4"/>
    <w:rsid w:val="007069F0"/>
    <w:rsid w:val="0070732D"/>
    <w:rsid w:val="007134FB"/>
    <w:rsid w:val="00713D66"/>
    <w:rsid w:val="007264F7"/>
    <w:rsid w:val="00750E03"/>
    <w:rsid w:val="00764B98"/>
    <w:rsid w:val="007828D7"/>
    <w:rsid w:val="00787DC3"/>
    <w:rsid w:val="00792936"/>
    <w:rsid w:val="007A0EA0"/>
    <w:rsid w:val="007A5DF6"/>
    <w:rsid w:val="007B539B"/>
    <w:rsid w:val="007D1EEB"/>
    <w:rsid w:val="007D51ED"/>
    <w:rsid w:val="00804087"/>
    <w:rsid w:val="00805EFD"/>
    <w:rsid w:val="00833DC4"/>
    <w:rsid w:val="00854F16"/>
    <w:rsid w:val="00877031"/>
    <w:rsid w:val="00884100"/>
    <w:rsid w:val="0089265F"/>
    <w:rsid w:val="00894CCC"/>
    <w:rsid w:val="008E517A"/>
    <w:rsid w:val="008E5E95"/>
    <w:rsid w:val="008F6D7D"/>
    <w:rsid w:val="00914142"/>
    <w:rsid w:val="009253AE"/>
    <w:rsid w:val="009552A0"/>
    <w:rsid w:val="0097609B"/>
    <w:rsid w:val="009A67B1"/>
    <w:rsid w:val="009B3A61"/>
    <w:rsid w:val="009F5456"/>
    <w:rsid w:val="00A05497"/>
    <w:rsid w:val="00A16BF8"/>
    <w:rsid w:val="00A24CBF"/>
    <w:rsid w:val="00A2588F"/>
    <w:rsid w:val="00A2707B"/>
    <w:rsid w:val="00A820C6"/>
    <w:rsid w:val="00A8255A"/>
    <w:rsid w:val="00A8511A"/>
    <w:rsid w:val="00AE7C62"/>
    <w:rsid w:val="00AF1488"/>
    <w:rsid w:val="00B02979"/>
    <w:rsid w:val="00B03A1D"/>
    <w:rsid w:val="00B040B6"/>
    <w:rsid w:val="00B1035E"/>
    <w:rsid w:val="00B147E5"/>
    <w:rsid w:val="00B24D88"/>
    <w:rsid w:val="00B54466"/>
    <w:rsid w:val="00B75368"/>
    <w:rsid w:val="00B83500"/>
    <w:rsid w:val="00B911E4"/>
    <w:rsid w:val="00BB06FC"/>
    <w:rsid w:val="00BC3924"/>
    <w:rsid w:val="00BF2EE9"/>
    <w:rsid w:val="00C23E4F"/>
    <w:rsid w:val="00C27568"/>
    <w:rsid w:val="00C7228E"/>
    <w:rsid w:val="00C72D14"/>
    <w:rsid w:val="00C85085"/>
    <w:rsid w:val="00C9135D"/>
    <w:rsid w:val="00C931C5"/>
    <w:rsid w:val="00CB300F"/>
    <w:rsid w:val="00CB6ADD"/>
    <w:rsid w:val="00CC0FB0"/>
    <w:rsid w:val="00CD79F1"/>
    <w:rsid w:val="00CE528E"/>
    <w:rsid w:val="00D17407"/>
    <w:rsid w:val="00D41FA8"/>
    <w:rsid w:val="00D53C19"/>
    <w:rsid w:val="00D57527"/>
    <w:rsid w:val="00D8473C"/>
    <w:rsid w:val="00D90842"/>
    <w:rsid w:val="00D92945"/>
    <w:rsid w:val="00D950F2"/>
    <w:rsid w:val="00DA7C25"/>
    <w:rsid w:val="00DC4213"/>
    <w:rsid w:val="00DD2DDD"/>
    <w:rsid w:val="00DD7DEC"/>
    <w:rsid w:val="00DE2452"/>
    <w:rsid w:val="00E10D09"/>
    <w:rsid w:val="00E24D5C"/>
    <w:rsid w:val="00E41FC5"/>
    <w:rsid w:val="00E45665"/>
    <w:rsid w:val="00E47953"/>
    <w:rsid w:val="00E54245"/>
    <w:rsid w:val="00E5655D"/>
    <w:rsid w:val="00E57476"/>
    <w:rsid w:val="00EB0E48"/>
    <w:rsid w:val="00EB771F"/>
    <w:rsid w:val="00EE1DD3"/>
    <w:rsid w:val="00EE4F4C"/>
    <w:rsid w:val="00EF14F2"/>
    <w:rsid w:val="00EF71F5"/>
    <w:rsid w:val="00F40B26"/>
    <w:rsid w:val="00F87189"/>
    <w:rsid w:val="00F941F7"/>
    <w:rsid w:val="00FB2A2B"/>
    <w:rsid w:val="00FC0BB2"/>
    <w:rsid w:val="00FC1D4B"/>
    <w:rsid w:val="00FD4A19"/>
    <w:rsid w:val="00FF4300"/>
    <w:rsid w:val="00FF4A6A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2B83203"/>
  <w15:docId w15:val="{B5A12E67-6BD8-4560-9825-E373428C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228E"/>
    <w:rPr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653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3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3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2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2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2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2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2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3FBF"/>
  </w:style>
  <w:style w:type="paragraph" w:styleId="Voettekst">
    <w:name w:val="footer"/>
    <w:basedOn w:val="Standaard"/>
    <w:link w:val="VoettekstChar"/>
    <w:uiPriority w:val="99"/>
    <w:unhideWhenUsed/>
    <w:rsid w:val="006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3FBF"/>
  </w:style>
  <w:style w:type="paragraph" w:customStyle="1" w:styleId="Basisalinea">
    <w:name w:val="[Basisalinea]"/>
    <w:basedOn w:val="Standaard"/>
    <w:uiPriority w:val="99"/>
    <w:rsid w:val="00653F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FBF"/>
    <w:rPr>
      <w:rFonts w:ascii="Tahoma" w:hAnsi="Tahoma" w:cs="Tahoma"/>
      <w:sz w:val="16"/>
      <w:szCs w:val="16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532E4"/>
  </w:style>
  <w:style w:type="character" w:customStyle="1" w:styleId="AanhefChar">
    <w:name w:val="Aanhef Char"/>
    <w:basedOn w:val="Standaardalinea-lettertype"/>
    <w:link w:val="Aanhef"/>
    <w:uiPriority w:val="99"/>
    <w:semiHidden/>
    <w:rsid w:val="006532E4"/>
  </w:style>
  <w:style w:type="paragraph" w:styleId="Adresenvelop">
    <w:name w:val="envelope address"/>
    <w:basedOn w:val="Standaard"/>
    <w:uiPriority w:val="99"/>
    <w:semiHidden/>
    <w:unhideWhenUsed/>
    <w:rsid w:val="006532E4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532E4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532E4"/>
  </w:style>
  <w:style w:type="paragraph" w:styleId="Afzender">
    <w:name w:val="envelope return"/>
    <w:basedOn w:val="Standaard"/>
    <w:uiPriority w:val="99"/>
    <w:semiHidden/>
    <w:unhideWhenUsed/>
    <w:rsid w:val="006532E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53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532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532E4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532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6532E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532E4"/>
    <w:pPr>
      <w:spacing w:after="0"/>
      <w:ind w:left="220" w:hanging="220"/>
    </w:pPr>
  </w:style>
  <w:style w:type="paragraph" w:styleId="Citaat">
    <w:name w:val="Quote"/>
    <w:basedOn w:val="Standaard"/>
    <w:next w:val="Standaard"/>
    <w:link w:val="CitaatChar"/>
    <w:uiPriority w:val="29"/>
    <w:qFormat/>
    <w:rsid w:val="006532E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532E4"/>
    <w:rPr>
      <w:i/>
      <w:iCs/>
      <w:color w:val="000000" w:themeColor="text1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532E4"/>
  </w:style>
  <w:style w:type="character" w:customStyle="1" w:styleId="DatumChar">
    <w:name w:val="Datum Char"/>
    <w:basedOn w:val="Standaardalinea-lettertype"/>
    <w:link w:val="Datum"/>
    <w:uiPriority w:val="99"/>
    <w:semiHidden/>
    <w:rsid w:val="006532E4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5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532E4"/>
    <w:rPr>
      <w:rFonts w:ascii="Tahoma" w:hAnsi="Tahoma" w:cs="Tahoma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2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32E4"/>
    <w:rPr>
      <w:b/>
      <w:bCs/>
      <w:i/>
      <w:iCs/>
      <w:color w:val="4F81BD" w:themeColor="accent1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532E4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532E4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532E4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532E4"/>
  </w:style>
  <w:style w:type="paragraph" w:styleId="Geenafstand">
    <w:name w:val="No Spacing"/>
    <w:uiPriority w:val="1"/>
    <w:qFormat/>
    <w:rsid w:val="006532E4"/>
    <w:pPr>
      <w:spacing w:after="0" w:line="240" w:lineRule="auto"/>
    </w:pPr>
  </w:style>
  <w:style w:type="paragraph" w:styleId="Handtekening">
    <w:name w:val="Signature"/>
    <w:basedOn w:val="Standaard"/>
    <w:link w:val="HandtekeningChar"/>
    <w:uiPriority w:val="99"/>
    <w:semiHidden/>
    <w:unhideWhenUsed/>
    <w:rsid w:val="006532E4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532E4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532E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6532E4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532E4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532E4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532E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532E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532E4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532E4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532E4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532E4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532E4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532E4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532E4"/>
    <w:pPr>
      <w:spacing w:after="100"/>
      <w:ind w:left="1760"/>
    </w:pPr>
  </w:style>
  <w:style w:type="character" w:customStyle="1" w:styleId="Kop1Char">
    <w:name w:val="Kop 1 Char"/>
    <w:basedOn w:val="Standaardalinea-lettertype"/>
    <w:link w:val="Kop1"/>
    <w:uiPriority w:val="9"/>
    <w:rsid w:val="00653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3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32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32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32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6532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532E4"/>
    <w:pPr>
      <w:outlineLvl w:val="9"/>
    </w:pPr>
  </w:style>
  <w:style w:type="paragraph" w:styleId="Lijst">
    <w:name w:val="List"/>
    <w:basedOn w:val="Standaard"/>
    <w:uiPriority w:val="99"/>
    <w:semiHidden/>
    <w:unhideWhenUsed/>
    <w:rsid w:val="006532E4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6532E4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6532E4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532E4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6532E4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532E4"/>
    <w:pPr>
      <w:spacing w:after="0"/>
    </w:pPr>
  </w:style>
  <w:style w:type="paragraph" w:styleId="Lijstopsomteken">
    <w:name w:val="List Bullet"/>
    <w:basedOn w:val="Standaard"/>
    <w:uiPriority w:val="99"/>
    <w:semiHidden/>
    <w:unhideWhenUsed/>
    <w:rsid w:val="006532E4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532E4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532E4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532E4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532E4"/>
    <w:pPr>
      <w:numPr>
        <w:numId w:val="5"/>
      </w:numPr>
      <w:contextualSpacing/>
    </w:pPr>
  </w:style>
  <w:style w:type="paragraph" w:styleId="Lijstalinea">
    <w:name w:val="List Paragraph"/>
    <w:basedOn w:val="Standaard"/>
    <w:uiPriority w:val="34"/>
    <w:qFormat/>
    <w:rsid w:val="006532E4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532E4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532E4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532E4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532E4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532E4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532E4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532E4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532E4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532E4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532E4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6532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6532E4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532E4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532E4"/>
  </w:style>
  <w:style w:type="paragraph" w:styleId="Ondertitel">
    <w:name w:val="Subtitle"/>
    <w:basedOn w:val="Standaard"/>
    <w:next w:val="Standaard"/>
    <w:link w:val="OndertitelChar"/>
    <w:uiPriority w:val="11"/>
    <w:qFormat/>
    <w:rsid w:val="006532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32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32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32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32E4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532E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532E4"/>
  </w:style>
  <w:style w:type="paragraph" w:styleId="Plattetekst2">
    <w:name w:val="Body Text 2"/>
    <w:basedOn w:val="Standaard"/>
    <w:link w:val="Plattetekst2Char"/>
    <w:uiPriority w:val="99"/>
    <w:semiHidden/>
    <w:unhideWhenUsed/>
    <w:rsid w:val="006532E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532E4"/>
  </w:style>
  <w:style w:type="paragraph" w:styleId="Plattetekst3">
    <w:name w:val="Body Text 3"/>
    <w:basedOn w:val="Standaard"/>
    <w:link w:val="Plattetekst3Char"/>
    <w:uiPriority w:val="99"/>
    <w:semiHidden/>
    <w:unhideWhenUsed/>
    <w:rsid w:val="006532E4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532E4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532E4"/>
    <w:pPr>
      <w:spacing w:after="2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532E4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532E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532E4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532E4"/>
    <w:pPr>
      <w:spacing w:after="20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532E4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532E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532E4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532E4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532E4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6532E4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532E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532E4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532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532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532E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532E4"/>
    <w:rPr>
      <w:sz w:val="20"/>
      <w:szCs w:val="20"/>
    </w:rPr>
  </w:style>
  <w:style w:type="character" w:styleId="Hyperlink">
    <w:name w:val="Hyperlink"/>
    <w:rsid w:val="0030079E"/>
    <w:rPr>
      <w:color w:val="0000FF"/>
      <w:u w:val="single"/>
    </w:rPr>
  </w:style>
  <w:style w:type="table" w:styleId="Tabelraster">
    <w:name w:val="Table Grid"/>
    <w:basedOn w:val="Standaardtabel"/>
    <w:uiPriority w:val="59"/>
    <w:rsid w:val="0030079E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EF71F5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7031"/>
    <w:rPr>
      <w:vertAlign w:val="superscript"/>
    </w:rPr>
  </w:style>
  <w:style w:type="character" w:styleId="Verwijzingopmerking">
    <w:name w:val="annotation reference"/>
    <w:uiPriority w:val="99"/>
    <w:semiHidden/>
    <w:unhideWhenUsed/>
    <w:rsid w:val="0087703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713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adruk">
    <w:name w:val="Emphasis"/>
    <w:basedOn w:val="Standaardalinea-lettertype"/>
    <w:uiPriority w:val="20"/>
    <w:qFormat/>
    <w:rsid w:val="006370A9"/>
    <w:rPr>
      <w:i/>
      <w:iCs/>
    </w:rPr>
  </w:style>
  <w:style w:type="character" w:customStyle="1" w:styleId="y2iqfc">
    <w:name w:val="y2iqfc"/>
    <w:basedOn w:val="Standaardalinea-lettertype"/>
    <w:rsid w:val="00B0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rements_erkenningen@iriscare.brussel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rements_erkenningen@iriscare.brussel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yperlink" Target="mailto:agrements_erkenningen@iriscare.brussel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E5EA-F601-45CC-B284-5B8E09CE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1052</Words>
  <Characters>5892</Characters>
  <Application>Microsoft Office Word</Application>
  <DocSecurity>4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RKW-ONAFTS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Lebrun</dc:creator>
  <cp:lastModifiedBy>Edith Poot</cp:lastModifiedBy>
  <cp:revision>2</cp:revision>
  <cp:lastPrinted>2018-03-23T11:19:00Z</cp:lastPrinted>
  <dcterms:created xsi:type="dcterms:W3CDTF">2024-09-25T14:25:00Z</dcterms:created>
  <dcterms:modified xsi:type="dcterms:W3CDTF">2024-09-25T14:25:00Z</dcterms:modified>
</cp:coreProperties>
</file>