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F9" w:rsidRDefault="00C60DF9" w:rsidP="00C60DF9">
      <w:pPr>
        <w:pStyle w:val="Kop1"/>
      </w:pPr>
      <w:r>
        <w:t>IRISCARE</w:t>
      </w:r>
    </w:p>
    <w:p w:rsidR="00C60DF9" w:rsidRDefault="00C60DF9" w:rsidP="00C60DF9">
      <w:pPr>
        <w:pStyle w:val="Kop1"/>
      </w:pPr>
      <w:r>
        <w:t xml:space="preserve">Instelling voor openbaar nut opgericht bij ordonnantie </w:t>
      </w:r>
      <w:r w:rsidR="003163AA">
        <w:br/>
      </w:r>
      <w:r>
        <w:t>van 23 maart 2017</w:t>
      </w:r>
    </w:p>
    <w:p w:rsidR="00C60DF9" w:rsidRPr="00C60DF9" w:rsidRDefault="00C60DF9" w:rsidP="00C60DF9">
      <w:pPr>
        <w:jc w:val="center"/>
        <w:rPr>
          <w:b/>
          <w:bCs/>
          <w:caps/>
          <w:kern w:val="32"/>
          <w:sz w:val="28"/>
          <w:szCs w:val="32"/>
          <w:lang w:val="nl-BE"/>
        </w:rPr>
      </w:pPr>
      <w:r w:rsidRPr="00C60DF9">
        <w:rPr>
          <w:b/>
          <w:bCs/>
          <w:caps/>
          <w:kern w:val="32"/>
          <w:sz w:val="28"/>
          <w:szCs w:val="32"/>
          <w:lang w:val="nl-BE"/>
        </w:rPr>
        <w:t>Beslissing van de Beheerraad Gezondheid en bijstand aan personen met betrekking tot de toepassing van de derdebetalersregeling voor de mobiliteitshulpmiddelen van 20/12/2018 en van 26/02/2019</w:t>
      </w:r>
    </w:p>
    <w:p w:rsidR="00525BD4" w:rsidRPr="003163AA" w:rsidRDefault="00C60DF9" w:rsidP="00C60DF9">
      <w:pPr>
        <w:jc w:val="center"/>
        <w:rPr>
          <w:lang w:val="nl-BE"/>
        </w:rPr>
      </w:pPr>
      <w:r w:rsidRPr="003163AA">
        <w:rPr>
          <w:b/>
          <w:bCs/>
          <w:caps/>
          <w:kern w:val="32"/>
          <w:sz w:val="28"/>
          <w:szCs w:val="32"/>
          <w:lang w:val="nl-BE"/>
        </w:rPr>
        <w:t>Ref : MOB 201812/2</w:t>
      </w:r>
    </w:p>
    <w:p w:rsidR="00C60DF9" w:rsidRPr="00C60DF9" w:rsidRDefault="00C60DF9" w:rsidP="00C60DF9">
      <w:pPr>
        <w:rPr>
          <w:lang w:val="nl-BE"/>
        </w:rPr>
      </w:pPr>
      <w:r w:rsidRPr="00C60DF9">
        <w:rPr>
          <w:lang w:val="nl-BE"/>
        </w:rPr>
        <w:t xml:space="preserve">Krachtens artikel 9, eerste lid, van het koninklijk besluit  van 18 september 2015 tot uitvoering   van artikel 53, §1, van de wet betreffende de verplichte verzekering voor geneeskundige verzorging en uitkeringen, gecoördineerd op 14 juli 1994, met betrekking tot de derdebetalersregeling, gewijzigd door het koninklijk besluit van 18/09/2017, legt deze overeenkomst de volgende nadere regels vast aangaande de toepassing van de derdebetalersregeling, voor alle orthopedisch technologen voor </w:t>
      </w:r>
      <w:proofErr w:type="spellStart"/>
      <w:r w:rsidRPr="00C60DF9">
        <w:rPr>
          <w:lang w:val="nl-BE"/>
        </w:rPr>
        <w:t>mobiliteitshulpmiddellen</w:t>
      </w:r>
      <w:proofErr w:type="spellEnd"/>
      <w:r w:rsidRPr="00C60DF9">
        <w:rPr>
          <w:lang w:val="nl-BE"/>
        </w:rPr>
        <w:t>, voor de aflevering van de mobiliteitshulpmiddelen.</w:t>
      </w:r>
    </w:p>
    <w:p w:rsidR="00C60DF9" w:rsidRPr="00C60DF9" w:rsidRDefault="00C60DF9" w:rsidP="00C60DF9">
      <w:pPr>
        <w:pStyle w:val="Kop2"/>
        <w:rPr>
          <w:lang w:val="nl-BE"/>
        </w:rPr>
      </w:pPr>
      <w:r w:rsidRPr="00C60DF9">
        <w:rPr>
          <w:lang w:val="nl-BE"/>
        </w:rPr>
        <w:t>A. Voor de verstrekkingen opgenomen in punten I t/m III, van de nomenclatuur van de mobiliteitshulpmiddelen</w:t>
      </w:r>
    </w:p>
    <w:p w:rsidR="00C60DF9" w:rsidRDefault="00C60DF9" w:rsidP="00C60DF9">
      <w:pPr>
        <w:rPr>
          <w:lang w:val="nl-BE"/>
        </w:rPr>
      </w:pPr>
      <w:r w:rsidRPr="00C60DF9">
        <w:rPr>
          <w:lang w:val="nl-BE"/>
        </w:rPr>
        <w:t>1. Ingeval de orthopedisch technoloog voor mobiliteitshulpmiddelen, hierna verstrekker genoemd, de derdebetalersregeling toepast, zendt hij de getuigschriften voor afleveringen,</w:t>
      </w:r>
      <w:r w:rsidRPr="00C60DF9">
        <w:t xml:space="preserve"> </w:t>
      </w:r>
      <w:r w:rsidRPr="00C60DF9">
        <w:rPr>
          <w:lang w:val="nl-BE"/>
        </w:rPr>
        <w:t>waarop de verklaring voorkomt volgens welke de rechthebbende het artikel heeft ontvangen, samen met een factuur naar de Brusselse verzekeringsinstelling.</w:t>
      </w:r>
    </w:p>
    <w:p w:rsidR="00C60DF9" w:rsidRDefault="00C60DF9" w:rsidP="00C60DF9">
      <w:pPr>
        <w:rPr>
          <w:lang w:val="nl-BE"/>
        </w:rPr>
      </w:pPr>
      <w:r w:rsidRPr="00C60DF9">
        <w:rPr>
          <w:lang w:val="nl-BE"/>
        </w:rPr>
        <w:t xml:space="preserve">2. De Brusselse verzekeringsinstelling reikt aan de verstrekker binnen vijftien werkdagen na het indienen van de aanvraag, wanneer de aflevering geschiedt onder de voorwaarden van de derdebetalersregeling, een verbintenis tot betalen, uit, die in tweevoud is opgemaakt en waarop </w:t>
      </w:r>
      <w:proofErr w:type="spellStart"/>
      <w:r w:rsidRPr="00C60DF9">
        <w:rPr>
          <w:lang w:val="nl-BE"/>
        </w:rPr>
        <w:t>ondermeer</w:t>
      </w:r>
      <w:proofErr w:type="spellEnd"/>
      <w:r w:rsidRPr="00C60DF9">
        <w:rPr>
          <w:lang w:val="nl-BE"/>
        </w:rPr>
        <w:t xml:space="preserve"> duidelijk het type van de bedoelde verstrekking is vermeld; een exemplaar van de verbintenis tot betalen moet bij de factuur van de verstrekker worden gevoegd.</w:t>
      </w:r>
    </w:p>
    <w:p w:rsidR="00C60DF9" w:rsidRDefault="00C60DF9" w:rsidP="00C60DF9">
      <w:pPr>
        <w:rPr>
          <w:lang w:val="nl-BE"/>
        </w:rPr>
      </w:pPr>
      <w:r>
        <w:rPr>
          <w:lang w:val="nl-BE"/>
        </w:rPr>
        <w:t xml:space="preserve">De betalingsverbintenis </w:t>
      </w:r>
      <w:r w:rsidRPr="00C60DF9">
        <w:rPr>
          <w:lang w:val="nl-BE"/>
        </w:rPr>
        <w:t>garandeert,</w:t>
      </w:r>
      <w:r w:rsidR="003163AA">
        <w:rPr>
          <w:lang w:val="nl-BE"/>
        </w:rPr>
        <w:t xml:space="preserve"> </w:t>
      </w:r>
      <w:r w:rsidRPr="00C60DF9">
        <w:rPr>
          <w:lang w:val="nl-BE"/>
        </w:rPr>
        <w:t>in voorkomend geval, dat de hernieuwingstermijn</w:t>
      </w:r>
      <w:r>
        <w:rPr>
          <w:lang w:val="nl-BE"/>
        </w:rPr>
        <w:t xml:space="preserve"> </w:t>
      </w:r>
      <w:r w:rsidRPr="00C60DF9">
        <w:rPr>
          <w:lang w:val="nl-BE"/>
        </w:rPr>
        <w:t>t.o.v. de voorgaande aflevering is verstreken.</w:t>
      </w:r>
    </w:p>
    <w:p w:rsidR="00C60DF9" w:rsidRDefault="00C60DF9" w:rsidP="00C60DF9">
      <w:pPr>
        <w:rPr>
          <w:lang w:val="nl-BE"/>
        </w:rPr>
      </w:pPr>
      <w:r w:rsidRPr="00C60DF9">
        <w:rPr>
          <w:lang w:val="nl-BE"/>
        </w:rPr>
        <w:t xml:space="preserve">3. De Brusselse verzekeringsinstelling betaalt binnen een termijn van zes weken vanaf de datum waarop zij de factuur ontving, </w:t>
      </w:r>
      <w:proofErr w:type="spellStart"/>
      <w:r w:rsidRPr="00C60DF9">
        <w:rPr>
          <w:lang w:val="nl-BE"/>
        </w:rPr>
        <w:t>voorzover</w:t>
      </w:r>
      <w:proofErr w:type="spellEnd"/>
      <w:r w:rsidRPr="00C60DF9">
        <w:rPr>
          <w:lang w:val="nl-BE"/>
        </w:rPr>
        <w:t xml:space="preserve"> de verstrekker overeenkomstig de bepalingen van punt 4 gefactureerd heeft vóór het einde van de tweede maand die waarin de verstrekkingen werden verleend, het onder de rubriek "totaal" op de verzamelstaat vermelde bedrag. De Brusselse verzekeringsinstelling wordt - behoudens bewijs van het tegendeel - geacht de factuur ontvangen te hebben de dag na verzending ervan door de verstrekker, waarbij de poststempel de datum bewijst waarop de verstrekker de factuur heeft</w:t>
      </w:r>
      <w:r w:rsidRPr="00C60DF9">
        <w:t xml:space="preserve"> </w:t>
      </w:r>
      <w:r w:rsidRPr="00C60DF9">
        <w:rPr>
          <w:lang w:val="nl-BE"/>
        </w:rPr>
        <w:t>verzonden.</w:t>
      </w:r>
    </w:p>
    <w:p w:rsidR="00C60DF9" w:rsidRDefault="00C60DF9" w:rsidP="00C60DF9">
      <w:pPr>
        <w:rPr>
          <w:lang w:val="nl-BE"/>
        </w:rPr>
      </w:pPr>
      <w:r w:rsidRPr="00C60DF9">
        <w:rPr>
          <w:lang w:val="nl-BE"/>
        </w:rPr>
        <w:t>Vertraging bij het indienen of het betalen van facturen wordt door de meest gerede partij aan de overeenkomstencommissie meegedeeld, die in de loop van haar eerstvolgende vergadering de middelen overweegt om daaraan te verhelpen.</w:t>
      </w:r>
    </w:p>
    <w:p w:rsidR="00C60DF9" w:rsidRDefault="00C60DF9" w:rsidP="00C60DF9">
      <w:pPr>
        <w:rPr>
          <w:lang w:val="nl-BE"/>
        </w:rPr>
      </w:pPr>
      <w:r w:rsidRPr="00C60DF9">
        <w:rPr>
          <w:lang w:val="nl-BE"/>
        </w:rPr>
        <w:t xml:space="preserve">Gerechtvaardigd protest van facturatie overeenkomstig de bepalingen van punt 5., schort de betalingstermijn van de geprotesteerde verstrekkingen op vanaf de datum van het schriftelijk protest vanwege de Brusselse verzekeringsinstelling tot de datum waarop de verstrekker schriftelijk </w:t>
      </w:r>
      <w:r w:rsidRPr="00C60DF9">
        <w:rPr>
          <w:lang w:val="nl-BE"/>
        </w:rPr>
        <w:lastRenderedPageBreak/>
        <w:t>reageert. De poststempel bewijst zowel de datum van het protest vanwege de Brusselse verzekeringsinstelling als de datum van de reactie vanwege de verstrekker.</w:t>
      </w:r>
    </w:p>
    <w:p w:rsidR="00C60DF9" w:rsidRDefault="00C60DF9" w:rsidP="00C60DF9">
      <w:pPr>
        <w:rPr>
          <w:lang w:val="nl-BE"/>
        </w:rPr>
      </w:pPr>
      <w:r w:rsidRPr="00C60DF9">
        <w:rPr>
          <w:lang w:val="nl-BE"/>
        </w:rPr>
        <w:t>4. Onder "facturatie" wordt verstaan het schriftelijk bevestigen van een schuldvordering in geld, die met toepassing van de derdebetalersregeling in hoofde van de Brusselse verzekeringsinstelling voortvloeit uit zorgverlening die het voorwerp uitmaakt van een tegemoetkoming vanwege de verplichte ziektekostenverzekering, verleend aan een rechthebbende die bij haar is aangesloten of ingeschreven. Dergelijke facturatie bestaat op straffe van nietigheid uit:</w:t>
      </w:r>
    </w:p>
    <w:p w:rsidR="00C60DF9" w:rsidRPr="00C60DF9" w:rsidRDefault="00C60DF9" w:rsidP="00C60DF9">
      <w:pPr>
        <w:pStyle w:val="Lijstalinea"/>
        <w:rPr>
          <w:lang w:val="nl-BE"/>
        </w:rPr>
      </w:pPr>
      <w:r w:rsidRPr="00C60DF9">
        <w:rPr>
          <w:lang w:val="nl-BE"/>
        </w:rPr>
        <w:t>een verzamelstaat, in tweevoud opgemaakt</w:t>
      </w:r>
      <w:r w:rsidRPr="00C60DF9">
        <w:t xml:space="preserve"> </w:t>
      </w:r>
      <w:r w:rsidRPr="00C60DF9">
        <w:rPr>
          <w:lang w:val="nl-BE"/>
        </w:rPr>
        <w:t>overeenkomstig het model dat gaat als bijlage bij dit advies;</w:t>
      </w:r>
    </w:p>
    <w:p w:rsidR="00C60DF9" w:rsidRPr="00C60DF9" w:rsidRDefault="00C60DF9" w:rsidP="00C60DF9">
      <w:pPr>
        <w:pStyle w:val="Lijstalinea"/>
        <w:rPr>
          <w:lang w:val="nl-BE"/>
        </w:rPr>
      </w:pPr>
      <w:r w:rsidRPr="00C60DF9">
        <w:rPr>
          <w:lang w:val="nl-BE"/>
        </w:rPr>
        <w:t>de getuigschriften van aflevering voor alle op de verzamelstaat vermelde bedragen;</w:t>
      </w:r>
    </w:p>
    <w:p w:rsidR="00C60DF9" w:rsidRDefault="00C60DF9" w:rsidP="00C60DF9">
      <w:pPr>
        <w:pStyle w:val="Lijstalinea"/>
        <w:rPr>
          <w:lang w:val="nl-BE"/>
        </w:rPr>
      </w:pPr>
      <w:r w:rsidRPr="00C60DF9">
        <w:rPr>
          <w:lang w:val="nl-BE"/>
        </w:rPr>
        <w:t xml:space="preserve">desgevallend, de </w:t>
      </w:r>
      <w:proofErr w:type="spellStart"/>
      <w:r w:rsidRPr="00C60DF9">
        <w:rPr>
          <w:lang w:val="nl-BE"/>
        </w:rPr>
        <w:t>dubbels</w:t>
      </w:r>
      <w:proofErr w:type="spellEnd"/>
      <w:r w:rsidRPr="00C60DF9">
        <w:rPr>
          <w:lang w:val="nl-BE"/>
        </w:rPr>
        <w:t xml:space="preserve"> van de betalingsverbintenissen die door de Brusselse verzekeringsinstelling met toepassing van de bepalingen van punt 2 werden overgemaakt voor alle middels deze verzamelstaat gefactureerde verstrekkingen.</w:t>
      </w:r>
    </w:p>
    <w:p w:rsidR="00C60DF9" w:rsidRPr="00C60DF9" w:rsidRDefault="00C60DF9" w:rsidP="00C60DF9">
      <w:pPr>
        <w:rPr>
          <w:lang w:val="nl-BE"/>
        </w:rPr>
      </w:pPr>
      <w:r w:rsidRPr="00C60DF9">
        <w:rPr>
          <w:lang w:val="nl-BE"/>
        </w:rPr>
        <w:t>5. De Brusselse verzekeringsinstelling heeft het recht om binnen de termijn bepaald door artikel</w:t>
      </w:r>
    </w:p>
    <w:p w:rsidR="00C60DF9" w:rsidRDefault="00C60DF9" w:rsidP="00C60DF9">
      <w:pPr>
        <w:rPr>
          <w:lang w:val="nl-BE"/>
        </w:rPr>
      </w:pPr>
      <w:r w:rsidRPr="00C60DF9">
        <w:rPr>
          <w:lang w:val="nl-BE"/>
        </w:rPr>
        <w:t>174 van voornoemde wet van 14 juli 1994 de facturatie in zijn geheel of gedeeltelijk te protesteren. Protest van een facturatie dient steeds schriftelijk te gebeuren, waarbij op het dubbel van de verzamelstaat alle geprotesteerde verstrekkingen worden gemarkeerd, met vermelding van de reden waarom de Brusselse verzekeringsinstelling deze facturatie niet aanvaardt.</w:t>
      </w:r>
    </w:p>
    <w:p w:rsidR="00C60DF9" w:rsidRDefault="00C60DF9" w:rsidP="00C60DF9">
      <w:pPr>
        <w:rPr>
          <w:lang w:val="nl-BE"/>
        </w:rPr>
      </w:pPr>
      <w:r w:rsidRPr="00C60DF9">
        <w:rPr>
          <w:lang w:val="nl-BE"/>
        </w:rPr>
        <w:t>De verstrekker heeft zestig dagen tijd om te reageren op dergelijk protest. Indien de verstrekker binnen deze termijn niet reageert, of indien hij de Brusselse verzekeringsinstelling niet kan overtuigen van zijn gelijk, dan mag de Brusselse verzekeringsinstelling met toepassing van de bepalingen van artikel 1290 van het Burgerlijk Wetboek haar schuld uit volgende facturaties compenseren met het totaal van de terecht geprotesteerde lijnen uit vorige facturaties. Indien de verstrekker de Brusselse verzekeringsinstelling niet heeft kunnen overtuigen van zijn gelijk, brengt de Brusselse verzekeringsinstelling de verstrekker schriftelijk op de hoogte van de toepassing van de</w:t>
      </w:r>
      <w:r w:rsidRPr="00C60DF9">
        <w:t xml:space="preserve"> </w:t>
      </w:r>
      <w:r w:rsidRPr="00C60DF9">
        <w:rPr>
          <w:lang w:val="nl-BE"/>
        </w:rPr>
        <w:t>compensatie van de geprotesteerde lijnen uit vorige facturaties.</w:t>
      </w:r>
    </w:p>
    <w:p w:rsidR="00C60DF9" w:rsidRDefault="00C60DF9" w:rsidP="00C60DF9">
      <w:pPr>
        <w:pStyle w:val="Kop2"/>
        <w:rPr>
          <w:lang w:val="nl-BE"/>
        </w:rPr>
      </w:pPr>
      <w:r w:rsidRPr="00C60DF9">
        <w:rPr>
          <w:lang w:val="nl-BE"/>
        </w:rPr>
        <w:t>B. Verstrekkingen opgenomen in punt IV., van de nomenclatuur van de mobiliteitshulpmiddelen</w:t>
      </w:r>
    </w:p>
    <w:p w:rsidR="00C60DF9" w:rsidRPr="00C60DF9" w:rsidRDefault="00C60DF9" w:rsidP="00C60DF9">
      <w:pPr>
        <w:rPr>
          <w:lang w:val="nl-BE"/>
        </w:rPr>
      </w:pPr>
      <w:r w:rsidRPr="00C60DF9">
        <w:rPr>
          <w:lang w:val="nl-BE"/>
        </w:rPr>
        <w:t>1. Voor de facturatie moet de verstrekker een exemplaar van het huurcontract toevoegen aan de verzamelstaat:</w:t>
      </w:r>
    </w:p>
    <w:p w:rsidR="00C60DF9" w:rsidRDefault="00C60DF9" w:rsidP="00C60DF9">
      <w:pPr>
        <w:pStyle w:val="Lijstalinea"/>
        <w:rPr>
          <w:lang w:val="nl-BE"/>
        </w:rPr>
      </w:pPr>
      <w:r w:rsidRPr="00C60DF9">
        <w:rPr>
          <w:lang w:val="nl-BE"/>
        </w:rPr>
        <w:t>bij de eerste facturatie van een maandelijks huurforfait;</w:t>
      </w:r>
    </w:p>
    <w:p w:rsidR="00C60DF9" w:rsidRDefault="00C60DF9" w:rsidP="00C60DF9">
      <w:pPr>
        <w:pStyle w:val="Lijstalinea"/>
        <w:rPr>
          <w:lang w:val="nl-BE"/>
        </w:rPr>
      </w:pPr>
      <w:r w:rsidRPr="00C60DF9">
        <w:rPr>
          <w:lang w:val="nl-BE"/>
        </w:rPr>
        <w:t>bij de eerste facturatie van een maandelijks huurforfait dat betrekking heeft op een nieuw huurcontract dat in de plaats treedt van een voorafgaand contract, hetzij omwille van levering van een ander exemplaar van hetzelfde type van mobiliteitshulpmiddel, hetzij omwille van levering van een ander type van mobiliteitshulpmiddel ter vervanging van een mobiliteitshulpmiddel waarvoor de zorgverlener en de rechthebbende een huurcontract hadden afgesloten.</w:t>
      </w:r>
    </w:p>
    <w:p w:rsidR="00C60DF9" w:rsidRDefault="00C60DF9" w:rsidP="00C60DF9">
      <w:pPr>
        <w:rPr>
          <w:lang w:val="nl-BE"/>
        </w:rPr>
      </w:pPr>
      <w:r w:rsidRPr="00C60DF9">
        <w:rPr>
          <w:lang w:val="nl-BE"/>
        </w:rPr>
        <w:t>2. De Brusselse verzekeringsinstelling betaalt aan de verstrekker het maandelijkse huurforfait, bedoeld in artikel IV van de nomenclatuur, voor verhuur van een mobiliteitshulpmiddel aan rechthebbenden opgenomen in een rustoord voor bejaarden of in een rust- en verzorgingstehuis, via de derdebetalersregeling:</w:t>
      </w:r>
    </w:p>
    <w:p w:rsidR="00C60DF9" w:rsidRDefault="00C60DF9" w:rsidP="00C60DF9">
      <w:pPr>
        <w:pStyle w:val="Lijstalinea"/>
        <w:rPr>
          <w:lang w:val="nl-BE"/>
        </w:rPr>
      </w:pPr>
      <w:r w:rsidRPr="00C60DF9">
        <w:rPr>
          <w:lang w:val="nl-BE"/>
        </w:rPr>
        <w:t>vanaf de maand van de aflevering indien de aflevering plaatsvindt v</w:t>
      </w:r>
      <w:r>
        <w:rPr>
          <w:lang w:val="nl-BE"/>
        </w:rPr>
        <w:t>anaf de 1ste tot en met de 15</w:t>
      </w:r>
      <w:r w:rsidRPr="00C60DF9">
        <w:rPr>
          <w:vertAlign w:val="superscript"/>
          <w:lang w:val="nl-BE"/>
        </w:rPr>
        <w:t>de</w:t>
      </w:r>
      <w:r>
        <w:rPr>
          <w:lang w:val="nl-BE"/>
        </w:rPr>
        <w:t xml:space="preserve"> </w:t>
      </w:r>
      <w:r w:rsidRPr="00C60DF9">
        <w:rPr>
          <w:lang w:val="nl-BE"/>
        </w:rPr>
        <w:t>kalenderdag van de maand;</w:t>
      </w:r>
    </w:p>
    <w:p w:rsidR="00C60DF9" w:rsidRDefault="00C60DF9" w:rsidP="00C60DF9">
      <w:pPr>
        <w:pStyle w:val="Lijstalinea"/>
        <w:rPr>
          <w:lang w:val="nl-BE"/>
        </w:rPr>
      </w:pPr>
      <w:r w:rsidRPr="00C60DF9">
        <w:rPr>
          <w:lang w:val="nl-BE"/>
        </w:rPr>
        <w:lastRenderedPageBreak/>
        <w:t>vanaf de maand volgend op de maand van aflevering indien de aflevering plaatsvindt vanaf de 16de kalenderdag van de maand;</w:t>
      </w:r>
    </w:p>
    <w:p w:rsidR="00C60DF9" w:rsidRDefault="00C60DF9" w:rsidP="00C60DF9">
      <w:pPr>
        <w:pStyle w:val="Lijstalinea"/>
        <w:rPr>
          <w:lang w:val="nl-BE"/>
        </w:rPr>
      </w:pPr>
      <w:r w:rsidRPr="00C60DF9">
        <w:rPr>
          <w:lang w:val="nl-BE"/>
        </w:rPr>
        <w:t>tot de maand waarin de  rechthebbende overlijdt of waarin het huurcontract definitief wordt beëindigd.</w:t>
      </w:r>
    </w:p>
    <w:p w:rsidR="00C60DF9" w:rsidRPr="00C60DF9" w:rsidRDefault="00C60DF9" w:rsidP="00C60DF9">
      <w:pPr>
        <w:rPr>
          <w:lang w:val="nl-BE"/>
        </w:rPr>
      </w:pPr>
      <w:r w:rsidRPr="00C60DF9">
        <w:rPr>
          <w:lang w:val="nl-BE"/>
        </w:rPr>
        <w:t>Dit huurforfait is verschuldigd vanaf:</w:t>
      </w:r>
    </w:p>
    <w:p w:rsidR="00C60DF9" w:rsidRDefault="00C60DF9" w:rsidP="00C60DF9">
      <w:pPr>
        <w:pStyle w:val="Lijstalinea"/>
      </w:pPr>
      <w:r w:rsidRPr="00C60DF9">
        <w:t>de maand van de aflevering indien de aflevering plaatsvindt vanaf de 1ste tot en met de 15de kalender van de maand;</w:t>
      </w:r>
    </w:p>
    <w:p w:rsidR="00C60DF9" w:rsidRDefault="00C60DF9" w:rsidP="00C60DF9">
      <w:pPr>
        <w:pStyle w:val="Lijstalinea"/>
      </w:pPr>
      <w:r>
        <w:t>de maand volgend op de maand van aflevering indien de aflevering plaatsvindt vanaf de 16de kalenderdag van de maand;</w:t>
      </w:r>
    </w:p>
    <w:p w:rsidR="00C60DF9" w:rsidRDefault="00C60DF9" w:rsidP="00C60DF9">
      <w:r>
        <w:t>Het is verschuldigd tot en met:</w:t>
      </w:r>
    </w:p>
    <w:p w:rsidR="00C60DF9" w:rsidRDefault="00C60DF9" w:rsidP="00C60DF9">
      <w:pPr>
        <w:pStyle w:val="Lijstalinea"/>
      </w:pPr>
      <w:r>
        <w:t>de maand waarin de rechthebbende overlijdt   of waarin het huurcontract definitief wordt beëindigd;</w:t>
      </w:r>
    </w:p>
    <w:p w:rsidR="00C60DF9" w:rsidRDefault="00C60DF9" w:rsidP="00C60DF9">
      <w:pPr>
        <w:pStyle w:val="Lijstalinea"/>
      </w:pPr>
      <w:r w:rsidRPr="00C60DF9">
        <w:t>de maand die voorafgaat aan de maand waarvoor een huurforfait op basis van een nieuw huurcontract tussen dezelfde partijen verschuldigd</w:t>
      </w:r>
      <w:r w:rsidRPr="00C60DF9">
        <w:tab/>
        <w:t>is</w:t>
      </w:r>
      <w:r w:rsidRPr="00C60DF9">
        <w:tab/>
        <w:t>met</w:t>
      </w:r>
      <w:r w:rsidRPr="00C60DF9">
        <w:tab/>
        <w:t>toepassing</w:t>
      </w:r>
      <w:r w:rsidRPr="00C60DF9">
        <w:tab/>
        <w:t>van</w:t>
      </w:r>
      <w:r w:rsidRPr="00C60DF9">
        <w:tab/>
        <w:t>de bepalingen van het vorige lid.</w:t>
      </w:r>
    </w:p>
    <w:p w:rsidR="00C60DF9" w:rsidRPr="00C60DF9" w:rsidRDefault="00C60DF9" w:rsidP="00C60DF9">
      <w:pPr>
        <w:pStyle w:val="Lijstalinea"/>
        <w:numPr>
          <w:ilvl w:val="0"/>
          <w:numId w:val="0"/>
        </w:numPr>
      </w:pPr>
      <w:r w:rsidRPr="00C60DF9">
        <w:t>De datum van aflevering wordt bepaald door de datum van ondertekening van het huurcontract.</w:t>
      </w:r>
    </w:p>
    <w:p w:rsidR="00C60DF9" w:rsidRDefault="00C60DF9" w:rsidP="00C60DF9">
      <w:r w:rsidRPr="00C60DF9">
        <w:t xml:space="preserve">3. De Brusselse verzekeringsinstelling reikt aan de verstrekker binnen vijftien dagen na het indienen van de aanvraag, wanneer de aflevering geschiedt onder de voorwaarden van de derdebetalersregeling, een verbintenis tot betalen, uit, die in tweevoud is opgemaakt en waarop </w:t>
      </w:r>
      <w:proofErr w:type="spellStart"/>
      <w:r w:rsidRPr="00C60DF9">
        <w:t>ondermeer</w:t>
      </w:r>
      <w:proofErr w:type="spellEnd"/>
      <w:r w:rsidRPr="00C60DF9">
        <w:t xml:space="preserve"> duidelijk het type van de bedoelde verstrekking is vermeld; een exemplaar van de verbintenis tot betalen moet bij de factuur van de verstrekker worden gevoegd.</w:t>
      </w:r>
    </w:p>
    <w:p w:rsidR="00C60DF9" w:rsidRDefault="00C60DF9" w:rsidP="00C60DF9">
      <w:r w:rsidRPr="00C60DF9">
        <w:t>De betalingsverbintenis voor het maandelijkse huurforfait geldt voor de duur van het huurcontract.</w:t>
      </w:r>
    </w:p>
    <w:p w:rsidR="00C60DF9" w:rsidRDefault="00C60DF9" w:rsidP="00C60DF9">
      <w:r w:rsidRPr="00C60DF9">
        <w:t xml:space="preserve">4. De Brusselse verzekeringsinstelling betaalt binnen een termijn van zes weken vanaf de datum waarop zij de factuur ontving, </w:t>
      </w:r>
      <w:proofErr w:type="spellStart"/>
      <w:r w:rsidRPr="00C60DF9">
        <w:t>voorzover</w:t>
      </w:r>
      <w:proofErr w:type="spellEnd"/>
      <w:r w:rsidRPr="00C60DF9">
        <w:t xml:space="preserve"> de verstrekker overeenkomstig de bepalingen van punt 5 gefactureerd heeft vóór het einde van de tweede maand </w:t>
      </w:r>
      <w:proofErr w:type="spellStart"/>
      <w:r w:rsidRPr="00C60DF9">
        <w:t>nss</w:t>
      </w:r>
      <w:proofErr w:type="spellEnd"/>
      <w:r w:rsidRPr="00C60DF9">
        <w:t xml:space="preserve"> die waarin de verstrekkingen werden verleend, het onder de rubriek "totaal" op de verzamelstaat vermelde bedrag. De Brusselse verzekeringsinstelling wordt - behoudens bewijs van het tegendeel - geacht de factuur ontvangen te hebben de dag na verzending ervan door de verstrekker, waarbij de poststempel de datum bewijst waarop de verstrekker de factuur heeft verzonden.</w:t>
      </w:r>
    </w:p>
    <w:p w:rsidR="00C60DF9" w:rsidRDefault="00C60DF9" w:rsidP="00C60DF9">
      <w:r w:rsidRPr="00C60DF9">
        <w:t>Vertraging bij het indienen of het betalen van facturen wordt door de meest gerede partij aan de overeenkomstencommissie meegedeeld, die in de loop van haar eerstvolgende vergadering de middelen overweegt om daaraan te verhelpen.</w:t>
      </w:r>
    </w:p>
    <w:p w:rsidR="00C60DF9" w:rsidRDefault="00C60DF9" w:rsidP="00C60DF9">
      <w:r w:rsidRPr="00C60DF9">
        <w:t>Gerechtvaardigd protest van facturatie overeenkomstig de bepalingen van punt 6, schort de betalingstermijn van de geprotesteerde verstrekkingen op vanaf de datum van het schriftelijk protest vanwege de Brusselse verzekeringsinstelling tot de datum waarop de verstrekker schriftelijk reageert. De poststempel bewijst zowel de datum van het protest vanwege de Brusselse verzekeringsinstelling als de datum van de reactie vanwege de verstrekker.</w:t>
      </w:r>
    </w:p>
    <w:p w:rsidR="00C60DF9" w:rsidRDefault="00C60DF9" w:rsidP="00C60DF9">
      <w:pPr>
        <w:pStyle w:val="Lijstalinea"/>
        <w:numPr>
          <w:ilvl w:val="0"/>
          <w:numId w:val="0"/>
        </w:numPr>
      </w:pPr>
      <w:r w:rsidRPr="00C60DF9">
        <w:t>5. Onder "facturatie" wordt verstaan het schriftelijk bevestigen van een schuldvordering in geld, die met toepassing van de derdebetalersregeling in hoofde van de Brusselse verzekeringsinstelling voortvloeit uit zorgverlening die het voorwerp uitmaakt van een tegemoetkoming vanwege de verplichte ziektekostenverzekering, verleend aan een rechthebbende die bij haar is aangesloten of ingeschreven. Dergelijke facturatie bestaat op straffe van nietigheid uit:</w:t>
      </w:r>
    </w:p>
    <w:p w:rsidR="00C60DF9" w:rsidRDefault="00C60DF9" w:rsidP="00C60DF9">
      <w:pPr>
        <w:pStyle w:val="Lijstalinea"/>
      </w:pPr>
      <w:r w:rsidRPr="00C60DF9">
        <w:lastRenderedPageBreak/>
        <w:t>een verzamelstaat, in tweevoud opgemaakt overeenkomstig het model dat gaat als bijlage bij deze advies;</w:t>
      </w:r>
    </w:p>
    <w:p w:rsidR="00C60DF9" w:rsidRDefault="00C60DF9" w:rsidP="00C60DF9">
      <w:pPr>
        <w:pStyle w:val="Lijstalinea"/>
      </w:pPr>
      <w:r w:rsidRPr="00C60DF9">
        <w:t>het (de) huurcontract(en);</w:t>
      </w:r>
    </w:p>
    <w:p w:rsidR="00C60DF9" w:rsidRDefault="00C60DF9" w:rsidP="00C60DF9">
      <w:pPr>
        <w:pStyle w:val="Lijstalinea"/>
      </w:pPr>
      <w:r w:rsidRPr="00C60DF9">
        <w:t xml:space="preserve">desgevallend, de </w:t>
      </w:r>
      <w:proofErr w:type="spellStart"/>
      <w:r w:rsidRPr="00C60DF9">
        <w:t>dubbels</w:t>
      </w:r>
      <w:proofErr w:type="spellEnd"/>
      <w:r w:rsidRPr="00C60DF9">
        <w:t xml:space="preserve"> van de betalingsverbintenissen die door de Brusselse verzekeringsinstelling met toepassing van de bepalingen van het punt 3. werden overgemaakt voor alle middels deze verzamelstaat gefactureerde verstrekkingen.</w:t>
      </w:r>
    </w:p>
    <w:p w:rsidR="00A028F7" w:rsidRDefault="00A028F7" w:rsidP="00A028F7">
      <w:r w:rsidRPr="00A028F7">
        <w:t>Bij de eerste facturatie van dergelijke maandelijks huurforfait in hoofde van een bij het betrokken ziekenfonds aangesloten rechthebbende, is de zorgverlener verplicht een exemplaar van het huurcontract toe te voegen aan de verzamelstaat.</w:t>
      </w:r>
    </w:p>
    <w:p w:rsidR="00A028F7" w:rsidRDefault="00A028F7" w:rsidP="00A028F7">
      <w:r w:rsidRPr="00A028F7">
        <w:t>Indien een nieuw huurcontract in de plaats treedt van een voorafgaand contract, hetzij omwille van levering van een ander exemplaar van hetzelfde type van mobiliteitshulpmiddel, hetzij omwille van levering van een ander type van mobiliteitshulpmiddel ter vervanging van een mobiliteitshulpmiddel waarvoor de zorgverlener en de rechthebbende een huurcontract hadden afgesloten, dan voegt de zorgverlener bij de eerste facturatie van het huurforfait dat betrekking heeft op dit nieuwe huurcontract, een exemplaar van het nieuwe huurcontract toe.</w:t>
      </w:r>
    </w:p>
    <w:p w:rsidR="00A028F7" w:rsidRDefault="00A028F7" w:rsidP="00A028F7">
      <w:r>
        <w:t>6. De Brusselse verzekeringsinstelling heeft het recht om binnen de termijn bepaald door artikel 174 van voornoemde wet van 14 juli 1994 de facturatie in zijn geheel of gedeeltelijk te protesteren. Protest van een facturatie dient steeds schriftelijk te gebeuren, waarbij op het dubbel van de verzamelstaat alle geprotesteerde verstrekkingen worden gemarkeerd, met vermelding van de reden waarom de Brusselse verzekeringsinstelling deze facturatie niet</w:t>
      </w:r>
      <w:r w:rsidRPr="00A028F7">
        <w:t xml:space="preserve"> aanvaardt.</w:t>
      </w:r>
    </w:p>
    <w:p w:rsidR="00A028F7" w:rsidRPr="00A028F7" w:rsidRDefault="00A028F7" w:rsidP="00A028F7">
      <w:r w:rsidRPr="00A028F7">
        <w:t>De verstrekker heeft zestig dagen tijd om te reageren op dergelijk protest. Indien de verstrekker binnen deze termijn niet reageert, of indien hij de Brusselse verzekeringsinstelling niet kan overtuigen van zijn gelijk, dan mag de verzekeringsinstelling met toepassing van de bepalingen van artikel 1290 van het Burgerlijk Wetboek haar schuld uit volgende facturaties compenseren met het totaal van de terecht geprotesteerde lijnen uit vorige facturaties. Indien de verstrekker de Brusselse verzekeringsinstelling niet heeft kunnen overtuigen van zijn gelijk, brengt de Brusselse verzekeringsinstelling de verstrekker schriftelijk op de hoogte van de toepassing van de compensatie van de geprotesteerde lijnen uit vorige facturaties.</w:t>
      </w:r>
    </w:p>
    <w:p w:rsidR="00C60DF9" w:rsidRDefault="00C60DF9" w:rsidP="00C60DF9">
      <w:pPr>
        <w:pStyle w:val="Lijstalinea"/>
        <w:numPr>
          <w:ilvl w:val="0"/>
          <w:numId w:val="0"/>
        </w:numPr>
      </w:pPr>
    </w:p>
    <w:p w:rsidR="00525BD4" w:rsidRPr="00A028F7" w:rsidRDefault="00A028F7" w:rsidP="00A028F7">
      <w:pPr>
        <w:pStyle w:val="Kop1"/>
        <w:rPr>
          <w:lang w:val="nl-BE"/>
        </w:rPr>
      </w:pPr>
      <w:r>
        <w:br w:type="page"/>
      </w:r>
      <w:r w:rsidRPr="00A028F7">
        <w:rPr>
          <w:lang w:val="nl-BE"/>
        </w:rPr>
        <w:lastRenderedPageBreak/>
        <w:t>Model van verzamelstaat, voor de Orthopedisch technoloog voor mobiliteitshulpmiddelen: verstrekkingen opgenomen in punt I t/m III van de nomenclatuur voor mobiliteitshulpmiddelen , in het kader van de derdebetalersregeling</w:t>
      </w:r>
    </w:p>
    <w:p w:rsidR="00525BD4" w:rsidRPr="00A028F7" w:rsidRDefault="00525BD4" w:rsidP="00C60DF9">
      <w:pPr>
        <w:rPr>
          <w:lang w:val="nl-BE"/>
        </w:rPr>
      </w:pPr>
    </w:p>
    <w:p w:rsidR="00525BD4" w:rsidRPr="00A028F7" w:rsidRDefault="00A028F7" w:rsidP="00C60DF9">
      <w:pPr>
        <w:rPr>
          <w:lang w:val="nl-BE"/>
        </w:rPr>
      </w:pPr>
      <w:r w:rsidRPr="00A028F7">
        <w:rPr>
          <w:lang w:val="nl-BE"/>
        </w:rPr>
        <w:t>Voornaam, Naam</w:t>
      </w:r>
      <w:r w:rsidR="00525BD4" w:rsidRPr="00A028F7">
        <w:rPr>
          <w:lang w:val="nl-BE"/>
        </w:rPr>
        <w:t>:</w:t>
      </w:r>
      <w:r w:rsidR="00367141" w:rsidRPr="00A028F7">
        <w:rPr>
          <w:lang w:val="nl-BE"/>
        </w:rPr>
        <w:tab/>
      </w:r>
    </w:p>
    <w:p w:rsidR="00525BD4" w:rsidRPr="00A028F7" w:rsidRDefault="00A028F7" w:rsidP="00525BD4">
      <w:pPr>
        <w:rPr>
          <w:lang w:val="nl-BE"/>
        </w:rPr>
      </w:pPr>
      <w:r w:rsidRPr="00A028F7">
        <w:rPr>
          <w:lang w:val="nl-BE"/>
        </w:rPr>
        <w:t xml:space="preserve">Orthopedisch technoloog voor </w:t>
      </w:r>
      <w:proofErr w:type="spellStart"/>
      <w:r w:rsidRPr="00A028F7">
        <w:rPr>
          <w:lang w:val="nl-BE"/>
        </w:rPr>
        <w:t>mobiliteitshulpmiddellen</w:t>
      </w:r>
      <w:proofErr w:type="spellEnd"/>
    </w:p>
    <w:p w:rsidR="00525BD4" w:rsidRPr="00A028F7" w:rsidRDefault="00A028F7" w:rsidP="00525BD4">
      <w:pPr>
        <w:rPr>
          <w:lang w:val="nl-BE"/>
        </w:rPr>
      </w:pPr>
      <w:r w:rsidRPr="00A028F7">
        <w:rPr>
          <w:lang w:val="nl-BE"/>
        </w:rPr>
        <w:t>RIZIV : erkenningsnummer</w:t>
      </w:r>
      <w:r w:rsidR="00367141" w:rsidRPr="00A028F7">
        <w:rPr>
          <w:lang w:val="nl-BE"/>
        </w:rPr>
        <w:tab/>
      </w:r>
    </w:p>
    <w:p w:rsidR="00525BD4" w:rsidRPr="00A028F7" w:rsidRDefault="00A028F7" w:rsidP="00525BD4">
      <w:pPr>
        <w:rPr>
          <w:lang w:val="nl-BE"/>
        </w:rPr>
      </w:pPr>
      <w:r w:rsidRPr="00A028F7">
        <w:rPr>
          <w:lang w:val="nl-BE"/>
        </w:rPr>
        <w:t>Volledig adres aan</w:t>
      </w:r>
      <w:r w:rsidR="00367141" w:rsidRPr="00A028F7">
        <w:rPr>
          <w:lang w:val="nl-BE"/>
        </w:rPr>
        <w:tab/>
      </w:r>
    </w:p>
    <w:p w:rsidR="00525BD4" w:rsidRPr="00A028F7" w:rsidRDefault="00A028F7" w:rsidP="00525BD4">
      <w:pPr>
        <w:rPr>
          <w:lang w:val="nl-BE"/>
        </w:rPr>
      </w:pPr>
      <w:r w:rsidRPr="00A028F7">
        <w:rPr>
          <w:lang w:val="nl-BE"/>
        </w:rPr>
        <w:t>KBO  nummer</w:t>
      </w:r>
      <w:r w:rsidR="00367141" w:rsidRPr="00A028F7">
        <w:rPr>
          <w:lang w:val="nl-BE"/>
        </w:rPr>
        <w:t>:</w:t>
      </w:r>
      <w:r w:rsidR="00367141" w:rsidRPr="00A028F7">
        <w:rPr>
          <w:lang w:val="nl-BE"/>
        </w:rPr>
        <w:tab/>
      </w:r>
    </w:p>
    <w:p w:rsidR="00525BD4" w:rsidRPr="00A028F7" w:rsidRDefault="00A028F7" w:rsidP="00525BD4">
      <w:pPr>
        <w:rPr>
          <w:lang w:val="nl-BE"/>
        </w:rPr>
      </w:pPr>
      <w:r w:rsidRPr="00A028F7">
        <w:rPr>
          <w:lang w:val="nl-BE"/>
        </w:rPr>
        <w:t>Telefoonnummer</w:t>
      </w:r>
      <w:r w:rsidR="00367141" w:rsidRPr="00A028F7">
        <w:rPr>
          <w:lang w:val="nl-BE"/>
        </w:rPr>
        <w:t>:</w:t>
      </w:r>
      <w:r w:rsidR="00367141" w:rsidRPr="00A028F7">
        <w:rPr>
          <w:lang w:val="nl-BE"/>
        </w:rPr>
        <w:tab/>
      </w:r>
    </w:p>
    <w:p w:rsidR="00525BD4" w:rsidRPr="00A028F7" w:rsidRDefault="00A028F7" w:rsidP="00525BD4">
      <w:pPr>
        <w:rPr>
          <w:lang w:val="nl-BE"/>
        </w:rPr>
      </w:pPr>
      <w:r w:rsidRPr="00A028F7">
        <w:rPr>
          <w:lang w:val="nl-BE"/>
        </w:rPr>
        <w:t>Kenm</w:t>
      </w:r>
      <w:r w:rsidR="003163AA">
        <w:rPr>
          <w:lang w:val="nl-BE"/>
        </w:rPr>
        <w:t>erk</w:t>
      </w:r>
      <w:r w:rsidRPr="00A028F7">
        <w:rPr>
          <w:lang w:val="nl-BE"/>
        </w:rPr>
        <w:t>:</w:t>
      </w:r>
      <w:r w:rsidR="00367141" w:rsidRPr="00A028F7">
        <w:rPr>
          <w:lang w:val="nl-BE"/>
        </w:rPr>
        <w:tab/>
      </w:r>
    </w:p>
    <w:p w:rsidR="00525BD4" w:rsidRPr="00A028F7" w:rsidRDefault="00A028F7" w:rsidP="00525BD4">
      <w:pPr>
        <w:rPr>
          <w:lang w:val="nl-BE"/>
        </w:rPr>
      </w:pPr>
      <w:r w:rsidRPr="003163AA">
        <w:rPr>
          <w:b/>
          <w:lang w:val="nl-BE"/>
        </w:rPr>
        <w:t>Verzamelstaat</w:t>
      </w:r>
      <w:r w:rsidRPr="00A028F7">
        <w:rPr>
          <w:lang w:val="nl-BE"/>
        </w:rPr>
        <w:t xml:space="preserve"> (derdebetalersregeling) voor de maand</w:t>
      </w:r>
      <w:r w:rsidR="00367141" w:rsidRPr="00A028F7">
        <w:rPr>
          <w:lang w:val="nl-BE"/>
        </w:rPr>
        <w:tab/>
      </w:r>
    </w:p>
    <w:p w:rsidR="00525BD4" w:rsidRPr="00A028F7" w:rsidRDefault="00A028F7" w:rsidP="00525BD4">
      <w:pPr>
        <w:rPr>
          <w:lang w:val="nl-BE"/>
        </w:rPr>
      </w:pPr>
      <w:r w:rsidRPr="00A028F7">
        <w:rPr>
          <w:lang w:val="nl-BE"/>
        </w:rPr>
        <w:t>waarin de verstrekkingen zijn afgeleverd.</w:t>
      </w:r>
    </w:p>
    <w:p w:rsidR="00525BD4" w:rsidRDefault="00A028F7" w:rsidP="00525BD4">
      <w:pPr>
        <w:rPr>
          <w:lang w:val="fr-BE"/>
        </w:rPr>
      </w:pPr>
      <w:proofErr w:type="spellStart"/>
      <w:r w:rsidRPr="00A028F7">
        <w:rPr>
          <w:lang w:val="fr-BE"/>
        </w:rPr>
        <w:t>Rekeningnummer</w:t>
      </w:r>
      <w:proofErr w:type="spellEnd"/>
      <w:r w:rsidRPr="00A028F7">
        <w:rPr>
          <w:lang w:val="fr-BE"/>
        </w:rPr>
        <w:t xml:space="preserve"> IBAN</w:t>
      </w:r>
      <w:r w:rsidR="00367141">
        <w:rPr>
          <w:lang w:val="fr-BE"/>
        </w:rPr>
        <w:t>:</w:t>
      </w:r>
      <w:r w:rsidR="00DF3BD3">
        <w:rPr>
          <w:lang w:val="fr-BE"/>
        </w:rPr>
        <w:t xml:space="preserve"> </w:t>
      </w:r>
      <w:r w:rsidR="003163AA">
        <w:rPr>
          <w:lang w:val="fr-BE"/>
        </w:rPr>
        <w:t>BE</w:t>
      </w:r>
      <w:r w:rsidR="00DF3BD3">
        <w:rPr>
          <w:lang w:val="fr-BE"/>
        </w:rPr>
        <w:tab/>
      </w:r>
    </w:p>
    <w:p w:rsidR="00367141" w:rsidRDefault="00367141" w:rsidP="00525BD4">
      <w:pPr>
        <w:rPr>
          <w:lang w:val="fr-BE"/>
        </w:rPr>
      </w:pPr>
    </w:p>
    <w:tbl>
      <w:tblPr>
        <w:tblStyle w:val="Tabelraster"/>
        <w:tblW w:w="0" w:type="auto"/>
        <w:jc w:val="center"/>
        <w:tblCellMar>
          <w:top w:w="113" w:type="dxa"/>
          <w:bottom w:w="113" w:type="dxa"/>
        </w:tblCellMar>
        <w:tblLook w:val="0400" w:firstRow="0" w:lastRow="0" w:firstColumn="0" w:lastColumn="0" w:noHBand="0" w:noVBand="1"/>
      </w:tblPr>
      <w:tblGrid>
        <w:gridCol w:w="2302"/>
        <w:gridCol w:w="2302"/>
        <w:gridCol w:w="2303"/>
        <w:gridCol w:w="2303"/>
      </w:tblGrid>
      <w:tr w:rsidR="00367141" w:rsidRPr="00E954F8" w:rsidTr="00367141">
        <w:trPr>
          <w:jc w:val="center"/>
        </w:trPr>
        <w:tc>
          <w:tcPr>
            <w:tcW w:w="2302" w:type="dxa"/>
            <w:tcBorders>
              <w:bottom w:val="single" w:sz="4" w:space="0" w:color="auto"/>
            </w:tcBorders>
          </w:tcPr>
          <w:p w:rsidR="00367141" w:rsidRPr="00E954F8" w:rsidRDefault="00A028F7" w:rsidP="00E954F8">
            <w:pPr>
              <w:jc w:val="center"/>
              <w:rPr>
                <w:rFonts w:asciiTheme="minorHAnsi" w:hAnsiTheme="minorHAnsi" w:cstheme="minorHAnsi"/>
                <w:b/>
              </w:rPr>
            </w:pPr>
            <w:r w:rsidRPr="00A028F7">
              <w:rPr>
                <w:rFonts w:ascii="Calibri" w:hAnsi="Calibri" w:cs="Calibri"/>
                <w:b/>
              </w:rPr>
              <w:t>Gerechtigde of rechthebbende</w:t>
            </w:r>
          </w:p>
        </w:tc>
        <w:tc>
          <w:tcPr>
            <w:tcW w:w="2302" w:type="dxa"/>
            <w:tcBorders>
              <w:bottom w:val="single" w:sz="4" w:space="0" w:color="auto"/>
            </w:tcBorders>
          </w:tcPr>
          <w:p w:rsidR="00367141" w:rsidRPr="00E954F8" w:rsidRDefault="00A028F7" w:rsidP="00367141">
            <w:pPr>
              <w:jc w:val="center"/>
              <w:rPr>
                <w:rFonts w:asciiTheme="minorHAnsi" w:hAnsiTheme="minorHAnsi" w:cstheme="minorHAnsi"/>
                <w:b/>
                <w:lang w:val="fr-BE"/>
              </w:rPr>
            </w:pPr>
            <w:r>
              <w:rPr>
                <w:rFonts w:asciiTheme="minorHAnsi" w:hAnsiTheme="minorHAnsi" w:cstheme="minorHAnsi"/>
                <w:b/>
                <w:lang w:val="fr-BE"/>
              </w:rPr>
              <w:t>INSZ</w:t>
            </w:r>
          </w:p>
        </w:tc>
        <w:tc>
          <w:tcPr>
            <w:tcW w:w="2303" w:type="dxa"/>
            <w:tcBorders>
              <w:bottom w:val="single" w:sz="4" w:space="0" w:color="auto"/>
            </w:tcBorders>
          </w:tcPr>
          <w:p w:rsidR="00367141" w:rsidRPr="00E954F8" w:rsidRDefault="00A028F7" w:rsidP="00367141">
            <w:pPr>
              <w:jc w:val="center"/>
              <w:rPr>
                <w:rFonts w:asciiTheme="minorHAnsi" w:hAnsiTheme="minorHAnsi" w:cstheme="minorHAnsi"/>
                <w:b/>
                <w:lang w:val="fr-BE"/>
              </w:rPr>
            </w:pPr>
            <w:proofErr w:type="spellStart"/>
            <w:r w:rsidRPr="00A028F7">
              <w:rPr>
                <w:rFonts w:ascii="Calibri" w:hAnsi="Calibri" w:cs="Calibri"/>
                <w:b/>
                <w:lang w:val="fr-BE"/>
              </w:rPr>
              <w:t>Tegemoetkoming</w:t>
            </w:r>
            <w:proofErr w:type="spellEnd"/>
          </w:p>
        </w:tc>
        <w:tc>
          <w:tcPr>
            <w:tcW w:w="2303" w:type="dxa"/>
            <w:tcBorders>
              <w:bottom w:val="single" w:sz="4" w:space="0" w:color="auto"/>
            </w:tcBorders>
          </w:tcPr>
          <w:p w:rsidR="00367141" w:rsidRPr="00A028F7" w:rsidRDefault="00A028F7" w:rsidP="00367141">
            <w:pPr>
              <w:jc w:val="center"/>
              <w:rPr>
                <w:rFonts w:asciiTheme="minorHAnsi" w:hAnsiTheme="minorHAnsi" w:cstheme="minorHAnsi"/>
                <w:b/>
                <w:lang w:val="nl-BE"/>
              </w:rPr>
            </w:pPr>
            <w:proofErr w:type="spellStart"/>
            <w:r w:rsidRPr="00A028F7">
              <w:rPr>
                <w:rFonts w:ascii="Calibri" w:hAnsi="Calibri" w:cs="Calibri"/>
                <w:b/>
                <w:lang w:val="fr-BE"/>
              </w:rPr>
              <w:t>Opmerking</w:t>
            </w:r>
            <w:proofErr w:type="spellEnd"/>
          </w:p>
        </w:tc>
      </w:tr>
      <w:tr w:rsidR="00367141" w:rsidRPr="00E954F8" w:rsidTr="00367141">
        <w:trPr>
          <w:jc w:val="center"/>
        </w:trPr>
        <w:tc>
          <w:tcPr>
            <w:tcW w:w="2302" w:type="dxa"/>
            <w:tcBorders>
              <w:bottom w:val="nil"/>
            </w:tcBorders>
          </w:tcPr>
          <w:p w:rsidR="00367141" w:rsidRPr="00E954F8" w:rsidRDefault="00367141" w:rsidP="003163AA">
            <w:pPr>
              <w:tabs>
                <w:tab w:val="left" w:leader="dot" w:pos="1940"/>
              </w:tabs>
              <w:rPr>
                <w:rFonts w:asciiTheme="minorHAnsi" w:hAnsiTheme="minorHAnsi" w:cstheme="minorHAnsi"/>
                <w:lang w:val="fr-BE"/>
              </w:rPr>
            </w:pPr>
            <w:r w:rsidRPr="00E954F8">
              <w:rPr>
                <w:rFonts w:asciiTheme="minorHAnsi" w:hAnsiTheme="minorHAnsi" w:cstheme="minorHAnsi"/>
                <w:lang w:val="fr-BE"/>
              </w:rPr>
              <w:tab/>
            </w:r>
          </w:p>
        </w:tc>
        <w:tc>
          <w:tcPr>
            <w:tcW w:w="2302" w:type="dxa"/>
            <w:tcBorders>
              <w:bottom w:val="nil"/>
            </w:tcBorders>
          </w:tcPr>
          <w:p w:rsidR="00367141" w:rsidRPr="00E954F8" w:rsidRDefault="00367141" w:rsidP="003163AA">
            <w:pPr>
              <w:tabs>
                <w:tab w:val="left" w:leader="dot" w:pos="1914"/>
              </w:tabs>
              <w:rPr>
                <w:rFonts w:asciiTheme="minorHAnsi" w:hAnsiTheme="minorHAnsi" w:cstheme="minorHAnsi"/>
                <w:lang w:val="fr-BE"/>
              </w:rPr>
            </w:pPr>
            <w:r w:rsidRPr="00E954F8">
              <w:rPr>
                <w:rFonts w:asciiTheme="minorHAnsi" w:hAnsiTheme="minorHAnsi" w:cstheme="minorHAnsi"/>
                <w:lang w:val="fr-BE"/>
              </w:rPr>
              <w:tab/>
            </w:r>
          </w:p>
        </w:tc>
        <w:tc>
          <w:tcPr>
            <w:tcW w:w="2303" w:type="dxa"/>
            <w:tcBorders>
              <w:bottom w:val="nil"/>
            </w:tcBorders>
          </w:tcPr>
          <w:p w:rsidR="00367141" w:rsidRPr="00E954F8" w:rsidRDefault="00367141" w:rsidP="003163AA">
            <w:pPr>
              <w:tabs>
                <w:tab w:val="left" w:leader="dot" w:pos="1887"/>
              </w:tabs>
              <w:rPr>
                <w:rFonts w:asciiTheme="minorHAnsi" w:hAnsiTheme="minorHAnsi" w:cstheme="minorHAnsi"/>
                <w:lang w:val="fr-BE"/>
              </w:rPr>
            </w:pPr>
            <w:r w:rsidRPr="00E954F8">
              <w:rPr>
                <w:rFonts w:asciiTheme="minorHAnsi" w:hAnsiTheme="minorHAnsi" w:cstheme="minorHAnsi"/>
                <w:lang w:val="fr-BE"/>
              </w:rPr>
              <w:tab/>
            </w:r>
          </w:p>
        </w:tc>
        <w:tc>
          <w:tcPr>
            <w:tcW w:w="2303" w:type="dxa"/>
            <w:tcBorders>
              <w:bottom w:val="nil"/>
            </w:tcBorders>
          </w:tcPr>
          <w:p w:rsidR="00367141" w:rsidRPr="00E954F8" w:rsidRDefault="00367141" w:rsidP="003163AA">
            <w:pPr>
              <w:tabs>
                <w:tab w:val="left" w:leader="dot" w:pos="1845"/>
              </w:tabs>
              <w:rPr>
                <w:rFonts w:asciiTheme="minorHAnsi" w:hAnsiTheme="minorHAnsi" w:cstheme="minorHAnsi"/>
                <w:lang w:val="fr-BE"/>
              </w:rPr>
            </w:pPr>
            <w:r w:rsidRPr="00E954F8">
              <w:rPr>
                <w:rFonts w:asciiTheme="minorHAnsi" w:hAnsiTheme="minorHAnsi" w:cstheme="minorHAnsi"/>
                <w:lang w:val="fr-BE"/>
              </w:rPr>
              <w:tab/>
            </w: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right w:val="nil"/>
            </w:tcBorders>
          </w:tcPr>
          <w:p w:rsidR="00367141" w:rsidRPr="00E954F8" w:rsidRDefault="00367141" w:rsidP="00525BD4">
            <w:pPr>
              <w:rPr>
                <w:rFonts w:asciiTheme="minorHAnsi" w:hAnsiTheme="minorHAnsi" w:cstheme="minorHAnsi"/>
                <w:lang w:val="fr-BE"/>
              </w:rPr>
            </w:pPr>
          </w:p>
        </w:tc>
        <w:tc>
          <w:tcPr>
            <w:tcW w:w="2302" w:type="dxa"/>
            <w:tcBorders>
              <w:left w:val="nil"/>
            </w:tcBorders>
          </w:tcPr>
          <w:p w:rsidR="00367141" w:rsidRPr="00E954F8" w:rsidRDefault="00367141" w:rsidP="00525BD4">
            <w:pPr>
              <w:rPr>
                <w:rFonts w:asciiTheme="minorHAnsi" w:hAnsiTheme="minorHAnsi" w:cstheme="minorHAnsi"/>
                <w:lang w:val="fr-BE"/>
              </w:rPr>
            </w:pPr>
            <w:r w:rsidRPr="00E954F8">
              <w:rPr>
                <w:rFonts w:asciiTheme="minorHAnsi" w:hAnsiTheme="minorHAnsi" w:cstheme="minorHAnsi"/>
                <w:lang w:val="fr-BE"/>
              </w:rPr>
              <w:t>TOTA</w:t>
            </w:r>
            <w:r w:rsidR="00A028F7">
              <w:rPr>
                <w:rFonts w:asciiTheme="minorHAnsi" w:hAnsiTheme="minorHAnsi" w:cstheme="minorHAnsi"/>
                <w:lang w:val="fr-BE"/>
              </w:rPr>
              <w:t>A</w:t>
            </w:r>
            <w:r w:rsidRPr="00E954F8">
              <w:rPr>
                <w:rFonts w:asciiTheme="minorHAnsi" w:hAnsiTheme="minorHAnsi" w:cstheme="minorHAnsi"/>
                <w:lang w:val="fr-BE"/>
              </w:rPr>
              <w:t>L</w:t>
            </w:r>
          </w:p>
        </w:tc>
        <w:tc>
          <w:tcPr>
            <w:tcW w:w="2303" w:type="dxa"/>
          </w:tcPr>
          <w:p w:rsidR="00367141" w:rsidRPr="00E954F8" w:rsidRDefault="00367141" w:rsidP="00525BD4">
            <w:pPr>
              <w:rPr>
                <w:rFonts w:asciiTheme="minorHAnsi" w:hAnsiTheme="minorHAnsi" w:cstheme="minorHAnsi"/>
                <w:lang w:val="fr-BE"/>
              </w:rPr>
            </w:pPr>
          </w:p>
        </w:tc>
        <w:tc>
          <w:tcPr>
            <w:tcW w:w="2303" w:type="dxa"/>
          </w:tcPr>
          <w:p w:rsidR="00367141" w:rsidRPr="00E954F8" w:rsidRDefault="00367141" w:rsidP="00367141">
            <w:pPr>
              <w:jc w:val="right"/>
              <w:rPr>
                <w:rFonts w:asciiTheme="minorHAnsi" w:hAnsiTheme="minorHAnsi" w:cstheme="minorHAnsi"/>
                <w:lang w:val="fr-BE"/>
              </w:rPr>
            </w:pPr>
            <w:r w:rsidRPr="00E954F8">
              <w:rPr>
                <w:rFonts w:asciiTheme="minorHAnsi" w:hAnsiTheme="minorHAnsi" w:cstheme="minorHAnsi"/>
                <w:lang w:val="fr-BE"/>
              </w:rPr>
              <w:t>euro</w:t>
            </w:r>
          </w:p>
        </w:tc>
      </w:tr>
    </w:tbl>
    <w:p w:rsidR="00614283" w:rsidRDefault="00614283" w:rsidP="00525BD4">
      <w:pPr>
        <w:rPr>
          <w:lang w:val="fr-BE"/>
        </w:rPr>
        <w:sectPr w:rsidR="00614283" w:rsidSect="00246767">
          <w:footerReference w:type="default" r:id="rId8"/>
          <w:headerReference w:type="first" r:id="rId9"/>
          <w:footerReference w:type="first" r:id="rId10"/>
          <w:pgSz w:w="11906" w:h="16838"/>
          <w:pgMar w:top="2268" w:right="1418" w:bottom="1418" w:left="1418" w:header="284" w:footer="567" w:gutter="0"/>
          <w:cols w:space="708"/>
          <w:titlePg/>
          <w:docGrid w:linePitch="360"/>
        </w:sectPr>
      </w:pPr>
    </w:p>
    <w:p w:rsidR="00614283" w:rsidRPr="00A028F7" w:rsidRDefault="00A028F7" w:rsidP="00DF3BD3">
      <w:pPr>
        <w:pStyle w:val="Kop1"/>
        <w:rPr>
          <w:lang w:val="nl-BE"/>
        </w:rPr>
      </w:pPr>
      <w:r w:rsidRPr="00A028F7">
        <w:rPr>
          <w:lang w:val="nl-BE"/>
        </w:rPr>
        <w:lastRenderedPageBreak/>
        <w:t xml:space="preserve">Model van verzamelstaat voor de orthopedisch technoloog voor mobiliteitshulpmiddelen: huurforfaits opgenomen in punt IV, van de nomenclatuur voor mobiliteitshulpmiddelen, </w:t>
      </w:r>
      <w:r w:rsidR="003163AA">
        <w:rPr>
          <w:lang w:val="nl-BE"/>
        </w:rPr>
        <w:br/>
      </w:r>
      <w:r w:rsidRPr="00A028F7">
        <w:rPr>
          <w:lang w:val="nl-BE"/>
        </w:rPr>
        <w:t>in het kader van de derdebetalersregeling</w:t>
      </w:r>
    </w:p>
    <w:p w:rsidR="00DF3BD3" w:rsidRPr="00A028F7" w:rsidRDefault="00DF3BD3" w:rsidP="00DF3BD3">
      <w:pPr>
        <w:rPr>
          <w:lang w:val="nl-BE"/>
        </w:rPr>
      </w:pPr>
    </w:p>
    <w:p w:rsidR="00DF3BD3" w:rsidRDefault="00A028F7" w:rsidP="00DF3BD3">
      <w:pPr>
        <w:rPr>
          <w:lang w:val="nl-BE"/>
        </w:rPr>
      </w:pPr>
      <w:r w:rsidRPr="00A028F7">
        <w:rPr>
          <w:lang w:val="nl-BE"/>
        </w:rPr>
        <w:t xml:space="preserve">Voornaam, Naam Orthopedisch technoloog voor </w:t>
      </w:r>
      <w:proofErr w:type="spellStart"/>
      <w:r w:rsidRPr="00A028F7">
        <w:rPr>
          <w:lang w:val="nl-BE"/>
        </w:rPr>
        <w:t>mobiliteitshulpmiddellen</w:t>
      </w:r>
      <w:proofErr w:type="spellEnd"/>
    </w:p>
    <w:p w:rsidR="00A028F7" w:rsidRPr="00A028F7" w:rsidRDefault="00A028F7" w:rsidP="003163AA">
      <w:pPr>
        <w:tabs>
          <w:tab w:val="clear" w:pos="9072"/>
          <w:tab w:val="left" w:leader="dot" w:pos="13041"/>
        </w:tabs>
        <w:rPr>
          <w:lang w:val="nl-BE"/>
        </w:rPr>
      </w:pPr>
      <w:r>
        <w:rPr>
          <w:lang w:val="nl-BE"/>
        </w:rPr>
        <w:tab/>
      </w:r>
    </w:p>
    <w:p w:rsidR="00DF3BD3" w:rsidRPr="003163AA" w:rsidRDefault="00A028F7" w:rsidP="003163AA">
      <w:pPr>
        <w:tabs>
          <w:tab w:val="clear" w:pos="9072"/>
          <w:tab w:val="left" w:leader="dot" w:pos="13041"/>
        </w:tabs>
        <w:rPr>
          <w:lang w:val="nl-BE"/>
        </w:rPr>
      </w:pPr>
      <w:r w:rsidRPr="003163AA">
        <w:rPr>
          <w:lang w:val="nl-BE"/>
        </w:rPr>
        <w:t>RIZIV : erkenningsnummer</w:t>
      </w:r>
      <w:r w:rsidR="00DF3BD3" w:rsidRPr="003163AA">
        <w:rPr>
          <w:lang w:val="nl-BE"/>
        </w:rPr>
        <w:tab/>
      </w:r>
    </w:p>
    <w:p w:rsidR="00DF3BD3" w:rsidRPr="003163AA" w:rsidRDefault="00A028F7" w:rsidP="003163AA">
      <w:pPr>
        <w:tabs>
          <w:tab w:val="clear" w:pos="9072"/>
          <w:tab w:val="left" w:leader="dot" w:pos="13041"/>
        </w:tabs>
        <w:rPr>
          <w:lang w:val="nl-BE"/>
        </w:rPr>
      </w:pPr>
      <w:r w:rsidRPr="003163AA">
        <w:rPr>
          <w:spacing w:val="-1"/>
          <w:lang w:val="nl-BE"/>
        </w:rPr>
        <w:t>Volledig  adres</w:t>
      </w:r>
      <w:r w:rsidR="00DF3BD3" w:rsidRPr="003163AA">
        <w:rPr>
          <w:lang w:val="nl-BE"/>
        </w:rPr>
        <w:tab/>
      </w:r>
    </w:p>
    <w:p w:rsidR="00DF3BD3" w:rsidRPr="00A028F7" w:rsidRDefault="00A028F7" w:rsidP="003163AA">
      <w:pPr>
        <w:tabs>
          <w:tab w:val="clear" w:pos="9072"/>
          <w:tab w:val="left" w:leader="dot" w:pos="13041"/>
        </w:tabs>
        <w:rPr>
          <w:lang w:val="de-DE"/>
        </w:rPr>
      </w:pPr>
      <w:r w:rsidRPr="003163AA">
        <w:rPr>
          <w:spacing w:val="-1"/>
          <w:lang w:val="nl-BE"/>
        </w:rPr>
        <w:t xml:space="preserve">KBO  </w:t>
      </w:r>
      <w:proofErr w:type="spellStart"/>
      <w:r w:rsidRPr="003163AA">
        <w:rPr>
          <w:spacing w:val="-1"/>
          <w:lang w:val="nl-BE"/>
        </w:rPr>
        <w:t>num</w:t>
      </w:r>
      <w:r w:rsidRPr="00A028F7">
        <w:rPr>
          <w:spacing w:val="-1"/>
          <w:lang w:val="de-DE"/>
        </w:rPr>
        <w:t>mer</w:t>
      </w:r>
      <w:proofErr w:type="spellEnd"/>
      <w:r w:rsidR="00DF3BD3" w:rsidRPr="00A028F7">
        <w:rPr>
          <w:lang w:val="de-DE"/>
        </w:rPr>
        <w:tab/>
      </w:r>
    </w:p>
    <w:p w:rsidR="00DF3BD3" w:rsidRPr="00A028F7" w:rsidRDefault="00A028F7" w:rsidP="003163AA">
      <w:pPr>
        <w:tabs>
          <w:tab w:val="clear" w:pos="9072"/>
          <w:tab w:val="left" w:leader="dot" w:pos="13041"/>
        </w:tabs>
        <w:rPr>
          <w:lang w:val="de-DE"/>
        </w:rPr>
      </w:pPr>
      <w:proofErr w:type="spellStart"/>
      <w:r w:rsidRPr="00A028F7">
        <w:rPr>
          <w:spacing w:val="-1"/>
          <w:lang w:val="de-DE"/>
        </w:rPr>
        <w:t>Telefoonnummer</w:t>
      </w:r>
      <w:proofErr w:type="spellEnd"/>
      <w:r w:rsidR="00DF3BD3" w:rsidRPr="00A028F7">
        <w:rPr>
          <w:lang w:val="de-DE"/>
        </w:rPr>
        <w:tab/>
      </w:r>
    </w:p>
    <w:p w:rsidR="00DF3BD3" w:rsidRPr="00A028F7" w:rsidRDefault="00A028F7" w:rsidP="003163AA">
      <w:pPr>
        <w:tabs>
          <w:tab w:val="clear" w:pos="9072"/>
          <w:tab w:val="left" w:leader="dot" w:pos="13041"/>
        </w:tabs>
        <w:rPr>
          <w:lang w:val="de-DE"/>
        </w:rPr>
      </w:pPr>
      <w:proofErr w:type="spellStart"/>
      <w:r w:rsidRPr="003163AA">
        <w:rPr>
          <w:lang w:val="de-DE"/>
        </w:rPr>
        <w:t>E-mail</w:t>
      </w:r>
      <w:proofErr w:type="spellEnd"/>
      <w:r w:rsidRPr="003163AA">
        <w:rPr>
          <w:lang w:val="de-DE"/>
        </w:rPr>
        <w:t xml:space="preserve"> </w:t>
      </w:r>
      <w:proofErr w:type="spellStart"/>
      <w:r w:rsidRPr="003163AA">
        <w:rPr>
          <w:lang w:val="de-DE"/>
        </w:rPr>
        <w:t>adres</w:t>
      </w:r>
      <w:proofErr w:type="spellEnd"/>
      <w:r w:rsidR="00DF3BD3" w:rsidRPr="00A028F7">
        <w:rPr>
          <w:lang w:val="de-DE"/>
        </w:rPr>
        <w:tab/>
      </w:r>
    </w:p>
    <w:p w:rsidR="00DF3BD3" w:rsidRPr="003163AA" w:rsidRDefault="00A028F7" w:rsidP="003163AA">
      <w:pPr>
        <w:tabs>
          <w:tab w:val="clear" w:pos="9072"/>
          <w:tab w:val="left" w:leader="dot" w:pos="13041"/>
        </w:tabs>
        <w:rPr>
          <w:lang w:val="nl-BE"/>
        </w:rPr>
      </w:pPr>
      <w:r w:rsidRPr="003163AA">
        <w:rPr>
          <w:lang w:val="nl-BE"/>
        </w:rPr>
        <w:t>Rekeningnummer IBAN</w:t>
      </w:r>
      <w:r w:rsidR="00DF3BD3" w:rsidRPr="003163AA">
        <w:rPr>
          <w:lang w:val="nl-BE"/>
        </w:rPr>
        <w:t xml:space="preserve">: </w:t>
      </w:r>
      <w:r w:rsidR="003163AA">
        <w:rPr>
          <w:lang w:val="nl-BE"/>
        </w:rPr>
        <w:t>BE</w:t>
      </w:r>
      <w:r w:rsidR="00DF3BD3" w:rsidRPr="003163AA">
        <w:rPr>
          <w:lang w:val="nl-BE"/>
        </w:rPr>
        <w:tab/>
      </w:r>
    </w:p>
    <w:p w:rsidR="00DF3BD3" w:rsidRPr="00A028F7" w:rsidRDefault="00A028F7" w:rsidP="003163AA">
      <w:pPr>
        <w:tabs>
          <w:tab w:val="clear" w:pos="9072"/>
          <w:tab w:val="left" w:leader="dot" w:pos="13041"/>
        </w:tabs>
        <w:rPr>
          <w:lang w:val="nl-BE"/>
        </w:rPr>
      </w:pPr>
      <w:r w:rsidRPr="00A028F7">
        <w:rPr>
          <w:lang w:val="nl-BE"/>
        </w:rPr>
        <w:t>Kenm</w:t>
      </w:r>
      <w:r w:rsidR="003163AA">
        <w:rPr>
          <w:lang w:val="nl-BE"/>
        </w:rPr>
        <w:t>erk</w:t>
      </w:r>
      <w:r w:rsidR="00DF3BD3" w:rsidRPr="00A028F7">
        <w:rPr>
          <w:lang w:val="nl-BE"/>
        </w:rPr>
        <w:t xml:space="preserve"> </w:t>
      </w:r>
      <w:r w:rsidR="00DF3BD3" w:rsidRPr="00A028F7">
        <w:rPr>
          <w:lang w:val="nl-BE"/>
        </w:rPr>
        <w:tab/>
      </w:r>
    </w:p>
    <w:p w:rsidR="00DF3BD3" w:rsidRPr="00A028F7" w:rsidRDefault="00A028F7" w:rsidP="003163AA">
      <w:pPr>
        <w:tabs>
          <w:tab w:val="clear" w:pos="9072"/>
          <w:tab w:val="left" w:leader="dot" w:pos="13041"/>
        </w:tabs>
        <w:rPr>
          <w:lang w:val="nl-BE"/>
        </w:rPr>
      </w:pPr>
      <w:r>
        <w:t>Maand</w:t>
      </w:r>
      <w:r>
        <w:rPr>
          <w:spacing w:val="-14"/>
        </w:rPr>
        <w:t xml:space="preserve"> </w:t>
      </w:r>
      <w:r>
        <w:t>waarvoor</w:t>
      </w:r>
      <w:r>
        <w:rPr>
          <w:spacing w:val="-15"/>
        </w:rPr>
        <w:t xml:space="preserve"> </w:t>
      </w:r>
      <w:r>
        <w:t>de</w:t>
      </w:r>
      <w:r>
        <w:rPr>
          <w:spacing w:val="-14"/>
        </w:rPr>
        <w:t xml:space="preserve"> </w:t>
      </w:r>
      <w:r>
        <w:t>forfaits</w:t>
      </w:r>
      <w:r>
        <w:rPr>
          <w:spacing w:val="-13"/>
        </w:rPr>
        <w:t xml:space="preserve"> </w:t>
      </w:r>
      <w:r>
        <w:t>verschuldigd</w:t>
      </w:r>
      <w:r>
        <w:rPr>
          <w:spacing w:val="-13"/>
        </w:rPr>
        <w:t xml:space="preserve"> </w:t>
      </w:r>
      <w:r>
        <w:t>zijn</w:t>
      </w:r>
      <w:r w:rsidR="00DF3BD3" w:rsidRPr="00A028F7">
        <w:rPr>
          <w:lang w:val="nl-BE"/>
        </w:rPr>
        <w:tab/>
      </w:r>
    </w:p>
    <w:p w:rsidR="00DF3BD3" w:rsidRDefault="00A028F7" w:rsidP="003163AA">
      <w:pPr>
        <w:tabs>
          <w:tab w:val="clear" w:pos="9072"/>
          <w:tab w:val="left" w:leader="dot" w:pos="13041"/>
        </w:tabs>
        <w:rPr>
          <w:lang w:val="fr-BE"/>
        </w:rPr>
      </w:pPr>
      <w:r>
        <w:rPr>
          <w:spacing w:val="-1"/>
        </w:rPr>
        <w:t>Nummer  ziekenfonds</w:t>
      </w:r>
      <w:r w:rsidR="00DF3BD3">
        <w:rPr>
          <w:lang w:val="fr-BE"/>
        </w:rPr>
        <w:tab/>
      </w:r>
    </w:p>
    <w:p w:rsidR="003163AA" w:rsidRDefault="003163AA">
      <w:r>
        <w:br w:type="page"/>
      </w:r>
    </w:p>
    <w:tbl>
      <w:tblPr>
        <w:tblStyle w:val="Tabelraster"/>
        <w:tblW w:w="14000" w:type="dxa"/>
        <w:tblCellMar>
          <w:top w:w="113" w:type="dxa"/>
          <w:bottom w:w="113" w:type="dxa"/>
        </w:tblCellMar>
        <w:tblLook w:val="04A0" w:firstRow="1" w:lastRow="0" w:firstColumn="1" w:lastColumn="0" w:noHBand="0" w:noVBand="1"/>
      </w:tblPr>
      <w:tblGrid>
        <w:gridCol w:w="3619"/>
        <w:gridCol w:w="2076"/>
        <w:gridCol w:w="2076"/>
        <w:gridCol w:w="2076"/>
        <w:gridCol w:w="2076"/>
        <w:gridCol w:w="2077"/>
      </w:tblGrid>
      <w:tr w:rsidR="00DF3BD3" w:rsidRPr="00C60DF9" w:rsidTr="003163AA">
        <w:trPr>
          <w:trHeight w:val="864"/>
        </w:trPr>
        <w:tc>
          <w:tcPr>
            <w:tcW w:w="3619" w:type="dxa"/>
            <w:tcBorders>
              <w:bottom w:val="single" w:sz="4" w:space="0" w:color="auto"/>
            </w:tcBorders>
          </w:tcPr>
          <w:p w:rsidR="00DF3BD3" w:rsidRPr="00E954F8" w:rsidRDefault="00EE6742" w:rsidP="00DF3BD3">
            <w:pPr>
              <w:jc w:val="center"/>
              <w:rPr>
                <w:rFonts w:asciiTheme="minorHAnsi" w:hAnsiTheme="minorHAnsi" w:cstheme="minorHAnsi"/>
                <w:b/>
                <w:lang w:val="fr-BE"/>
              </w:rPr>
            </w:pPr>
            <w:proofErr w:type="spellStart"/>
            <w:r w:rsidRPr="00EE6742">
              <w:rPr>
                <w:rFonts w:ascii="Calibri" w:hAnsi="Calibri" w:cs="Calibri"/>
                <w:b/>
                <w:lang w:val="fr-BE"/>
              </w:rPr>
              <w:t>Naam</w:t>
            </w:r>
            <w:proofErr w:type="spellEnd"/>
            <w:r w:rsidRPr="00EE6742">
              <w:rPr>
                <w:rFonts w:ascii="Calibri" w:hAnsi="Calibri" w:cs="Calibri"/>
                <w:b/>
                <w:lang w:val="fr-BE"/>
              </w:rPr>
              <w:t xml:space="preserve"> </w:t>
            </w:r>
            <w:proofErr w:type="spellStart"/>
            <w:r w:rsidRPr="00EE6742">
              <w:rPr>
                <w:rFonts w:ascii="Calibri" w:hAnsi="Calibri" w:cs="Calibri"/>
                <w:b/>
                <w:lang w:val="fr-BE"/>
              </w:rPr>
              <w:t>rechthebbende</w:t>
            </w:r>
            <w:proofErr w:type="spellEnd"/>
          </w:p>
        </w:tc>
        <w:tc>
          <w:tcPr>
            <w:tcW w:w="2076" w:type="dxa"/>
            <w:tcBorders>
              <w:bottom w:val="single" w:sz="4" w:space="0" w:color="auto"/>
            </w:tcBorders>
          </w:tcPr>
          <w:p w:rsidR="00DF3BD3" w:rsidRPr="00E954F8" w:rsidRDefault="00EE6742" w:rsidP="00DF3BD3">
            <w:pPr>
              <w:jc w:val="center"/>
              <w:rPr>
                <w:rFonts w:asciiTheme="minorHAnsi" w:hAnsiTheme="minorHAnsi" w:cstheme="minorHAnsi"/>
                <w:b/>
                <w:lang w:val="fr-BE"/>
              </w:rPr>
            </w:pPr>
            <w:r w:rsidRPr="00EE6742">
              <w:rPr>
                <w:rFonts w:ascii="Calibri" w:hAnsi="Calibri" w:cs="Calibri"/>
                <w:b/>
                <w:lang w:val="fr-BE"/>
              </w:rPr>
              <w:t>INSZ nr.</w:t>
            </w:r>
          </w:p>
        </w:tc>
        <w:tc>
          <w:tcPr>
            <w:tcW w:w="2076" w:type="dxa"/>
            <w:tcBorders>
              <w:bottom w:val="single" w:sz="4" w:space="0" w:color="auto"/>
            </w:tcBorders>
          </w:tcPr>
          <w:p w:rsidR="00DF3BD3" w:rsidRPr="00E954F8" w:rsidRDefault="00DA496B" w:rsidP="00DF3BD3">
            <w:pPr>
              <w:jc w:val="center"/>
              <w:rPr>
                <w:rFonts w:asciiTheme="minorHAnsi" w:hAnsiTheme="minorHAnsi" w:cstheme="minorHAnsi"/>
                <w:b/>
                <w:lang w:val="fr-BE"/>
              </w:rPr>
            </w:pPr>
            <w:proofErr w:type="spellStart"/>
            <w:r>
              <w:rPr>
                <w:rFonts w:ascii="Calibri" w:hAnsi="Calibri" w:cs="Calibri"/>
                <w:b/>
                <w:lang w:val="fr-BE"/>
              </w:rPr>
              <w:t>Instellingsnu</w:t>
            </w:r>
            <w:bookmarkStart w:id="0" w:name="_GoBack"/>
            <w:bookmarkEnd w:id="0"/>
            <w:r w:rsidR="00EE6742" w:rsidRPr="00EE6742">
              <w:rPr>
                <w:rFonts w:ascii="Calibri" w:hAnsi="Calibri" w:cs="Calibri"/>
                <w:b/>
                <w:lang w:val="fr-BE"/>
              </w:rPr>
              <w:t>mmer</w:t>
            </w:r>
            <w:proofErr w:type="spellEnd"/>
          </w:p>
        </w:tc>
        <w:tc>
          <w:tcPr>
            <w:tcW w:w="2076" w:type="dxa"/>
            <w:tcBorders>
              <w:bottom w:val="single" w:sz="4" w:space="0" w:color="auto"/>
            </w:tcBorders>
          </w:tcPr>
          <w:p w:rsidR="00DF3BD3" w:rsidRPr="00E954F8" w:rsidRDefault="00EE6742" w:rsidP="00DF3BD3">
            <w:pPr>
              <w:jc w:val="center"/>
              <w:rPr>
                <w:rFonts w:asciiTheme="minorHAnsi" w:hAnsiTheme="minorHAnsi" w:cstheme="minorHAnsi"/>
                <w:b/>
                <w:lang w:val="fr-BE"/>
              </w:rPr>
            </w:pPr>
            <w:proofErr w:type="spellStart"/>
            <w:r w:rsidRPr="00EE6742">
              <w:rPr>
                <w:rFonts w:ascii="Calibri" w:hAnsi="Calibri" w:cs="Calibri"/>
                <w:b/>
                <w:lang w:val="fr-BE"/>
              </w:rPr>
              <w:t>Verstrekkings</w:t>
            </w:r>
            <w:proofErr w:type="spellEnd"/>
            <w:r w:rsidRPr="00EE6742">
              <w:rPr>
                <w:rFonts w:ascii="Calibri" w:hAnsi="Calibri" w:cs="Calibri"/>
                <w:b/>
                <w:lang w:val="fr-BE"/>
              </w:rPr>
              <w:t xml:space="preserve">- </w:t>
            </w:r>
            <w:proofErr w:type="spellStart"/>
            <w:r w:rsidRPr="00EE6742">
              <w:rPr>
                <w:rFonts w:ascii="Calibri" w:hAnsi="Calibri" w:cs="Calibri"/>
                <w:b/>
                <w:lang w:val="fr-BE"/>
              </w:rPr>
              <w:t>nummer</w:t>
            </w:r>
            <w:proofErr w:type="spellEnd"/>
          </w:p>
        </w:tc>
        <w:tc>
          <w:tcPr>
            <w:tcW w:w="2076" w:type="dxa"/>
            <w:tcBorders>
              <w:bottom w:val="single" w:sz="4" w:space="0" w:color="auto"/>
            </w:tcBorders>
          </w:tcPr>
          <w:p w:rsidR="00DF3BD3" w:rsidRPr="003163AA" w:rsidRDefault="00EE6742" w:rsidP="00DF3BD3">
            <w:pPr>
              <w:jc w:val="center"/>
              <w:rPr>
                <w:rFonts w:asciiTheme="minorHAnsi" w:hAnsiTheme="minorHAnsi" w:cstheme="minorHAnsi"/>
                <w:b/>
                <w:lang w:val="nl-BE"/>
              </w:rPr>
            </w:pPr>
            <w:r w:rsidRPr="003163AA">
              <w:rPr>
                <w:rFonts w:ascii="Calibri" w:hAnsi="Calibri" w:cs="Calibri"/>
                <w:b/>
                <w:lang w:val="nl-BE"/>
              </w:rPr>
              <w:t xml:space="preserve">Huurforfait </w:t>
            </w:r>
            <w:r w:rsidR="003163AA" w:rsidRPr="003163AA">
              <w:rPr>
                <w:rFonts w:ascii="Calibri" w:hAnsi="Calibri" w:cs="Calibri"/>
                <w:b/>
                <w:lang w:val="nl-BE"/>
              </w:rPr>
              <w:br/>
            </w:r>
            <w:r w:rsidRPr="003163AA">
              <w:rPr>
                <w:rFonts w:ascii="Calibri" w:hAnsi="Calibri" w:cs="Calibri"/>
                <w:b/>
                <w:lang w:val="nl-BE"/>
              </w:rPr>
              <w:t>(bedrag in EUR</w:t>
            </w:r>
            <w:r w:rsidR="00DF3BD3" w:rsidRPr="003163AA">
              <w:rPr>
                <w:rFonts w:asciiTheme="minorHAnsi" w:hAnsiTheme="minorHAnsi" w:cstheme="minorHAnsi"/>
                <w:b/>
                <w:lang w:val="nl-BE"/>
              </w:rPr>
              <w:t>)</w:t>
            </w:r>
          </w:p>
        </w:tc>
        <w:tc>
          <w:tcPr>
            <w:tcW w:w="2077" w:type="dxa"/>
            <w:tcBorders>
              <w:bottom w:val="single" w:sz="4" w:space="0" w:color="auto"/>
            </w:tcBorders>
          </w:tcPr>
          <w:p w:rsidR="00DF3BD3" w:rsidRPr="003163AA" w:rsidRDefault="00EE6742" w:rsidP="00DF3BD3">
            <w:pPr>
              <w:jc w:val="center"/>
              <w:rPr>
                <w:rFonts w:asciiTheme="minorHAnsi" w:hAnsiTheme="minorHAnsi" w:cstheme="minorHAnsi"/>
                <w:b/>
                <w:lang w:val="nl-BE"/>
              </w:rPr>
            </w:pPr>
            <w:r w:rsidRPr="003163AA">
              <w:rPr>
                <w:rFonts w:ascii="Calibri" w:hAnsi="Calibri" w:cs="Calibri"/>
                <w:b/>
                <w:lang w:val="nl-BE"/>
              </w:rPr>
              <w:t xml:space="preserve">Huurcontact in bijlage </w:t>
            </w:r>
            <w:r w:rsidR="003163AA">
              <w:rPr>
                <w:rFonts w:ascii="Calibri" w:hAnsi="Calibri" w:cs="Calibri"/>
                <w:b/>
                <w:lang w:val="nl-BE"/>
              </w:rPr>
              <w:br/>
            </w:r>
            <w:r w:rsidRPr="003163AA">
              <w:rPr>
                <w:rFonts w:ascii="Calibri" w:hAnsi="Calibri" w:cs="Calibri"/>
                <w:b/>
                <w:lang w:val="nl-BE"/>
              </w:rPr>
              <w:t>(aankruisen)</w:t>
            </w:r>
          </w:p>
        </w:tc>
      </w:tr>
      <w:tr w:rsidR="00DF3BD3" w:rsidRPr="00C60DF9" w:rsidTr="003163AA">
        <w:tc>
          <w:tcPr>
            <w:tcW w:w="3619" w:type="dxa"/>
            <w:tcBorders>
              <w:bottom w:val="nil"/>
            </w:tcBorders>
          </w:tcPr>
          <w:p w:rsidR="00DF3BD3" w:rsidRPr="003163AA" w:rsidRDefault="00E954F8" w:rsidP="00E954F8">
            <w:pPr>
              <w:tabs>
                <w:tab w:val="clear" w:pos="9072"/>
                <w:tab w:val="center" w:leader="dot" w:pos="3402"/>
              </w:tabs>
              <w:rPr>
                <w:rFonts w:asciiTheme="minorHAnsi" w:hAnsiTheme="minorHAnsi" w:cstheme="minorHAnsi"/>
                <w:lang w:val="nl-BE"/>
              </w:rPr>
            </w:pPr>
            <w:r w:rsidRPr="003163AA">
              <w:rPr>
                <w:rFonts w:asciiTheme="minorHAnsi" w:hAnsiTheme="minorHAnsi" w:cstheme="minorHAnsi"/>
                <w:lang w:val="nl-BE"/>
              </w:rPr>
              <w:tab/>
            </w:r>
          </w:p>
        </w:tc>
        <w:tc>
          <w:tcPr>
            <w:tcW w:w="2076" w:type="dxa"/>
            <w:tcBorders>
              <w:bottom w:val="nil"/>
            </w:tcBorders>
          </w:tcPr>
          <w:p w:rsidR="00DF3BD3" w:rsidRPr="003163AA" w:rsidRDefault="00DF3BD3" w:rsidP="00DF3BD3">
            <w:pPr>
              <w:tabs>
                <w:tab w:val="center" w:leader="dot" w:pos="1701"/>
              </w:tabs>
              <w:rPr>
                <w:rFonts w:asciiTheme="minorHAnsi" w:hAnsiTheme="minorHAnsi" w:cstheme="minorHAnsi"/>
                <w:lang w:val="nl-BE"/>
              </w:rPr>
            </w:pPr>
            <w:r w:rsidRPr="003163AA">
              <w:rPr>
                <w:rFonts w:asciiTheme="minorHAnsi" w:hAnsiTheme="minorHAnsi" w:cstheme="minorHAnsi"/>
                <w:lang w:val="nl-BE"/>
              </w:rPr>
              <w:tab/>
            </w:r>
          </w:p>
        </w:tc>
        <w:tc>
          <w:tcPr>
            <w:tcW w:w="2076" w:type="dxa"/>
            <w:tcBorders>
              <w:bottom w:val="nil"/>
            </w:tcBorders>
          </w:tcPr>
          <w:p w:rsidR="00DF3BD3" w:rsidRPr="003163AA" w:rsidRDefault="00DF3BD3" w:rsidP="00DF3BD3">
            <w:pPr>
              <w:tabs>
                <w:tab w:val="center" w:leader="dot" w:pos="1701"/>
              </w:tabs>
              <w:rPr>
                <w:rFonts w:asciiTheme="minorHAnsi" w:hAnsiTheme="minorHAnsi" w:cstheme="minorHAnsi"/>
                <w:lang w:val="nl-BE"/>
              </w:rPr>
            </w:pPr>
            <w:r w:rsidRPr="003163AA">
              <w:rPr>
                <w:rFonts w:asciiTheme="minorHAnsi" w:hAnsiTheme="minorHAnsi" w:cstheme="minorHAnsi"/>
                <w:lang w:val="nl-BE"/>
              </w:rPr>
              <w:tab/>
            </w:r>
          </w:p>
        </w:tc>
        <w:tc>
          <w:tcPr>
            <w:tcW w:w="2076" w:type="dxa"/>
            <w:tcBorders>
              <w:bottom w:val="nil"/>
            </w:tcBorders>
          </w:tcPr>
          <w:p w:rsidR="00DF3BD3" w:rsidRPr="003163AA" w:rsidRDefault="00DF3BD3" w:rsidP="00DF3BD3">
            <w:pPr>
              <w:tabs>
                <w:tab w:val="center" w:leader="dot" w:pos="1701"/>
              </w:tabs>
              <w:rPr>
                <w:rFonts w:asciiTheme="minorHAnsi" w:hAnsiTheme="minorHAnsi" w:cstheme="minorHAnsi"/>
                <w:lang w:val="nl-BE"/>
              </w:rPr>
            </w:pPr>
            <w:r w:rsidRPr="003163AA">
              <w:rPr>
                <w:rFonts w:asciiTheme="minorHAnsi" w:hAnsiTheme="minorHAnsi" w:cstheme="minorHAnsi"/>
                <w:lang w:val="nl-BE"/>
              </w:rPr>
              <w:tab/>
            </w:r>
          </w:p>
        </w:tc>
        <w:tc>
          <w:tcPr>
            <w:tcW w:w="2076" w:type="dxa"/>
            <w:tcBorders>
              <w:bottom w:val="nil"/>
            </w:tcBorders>
          </w:tcPr>
          <w:p w:rsidR="00DF3BD3" w:rsidRPr="003163AA" w:rsidRDefault="00DF3BD3" w:rsidP="00DF3BD3">
            <w:pPr>
              <w:tabs>
                <w:tab w:val="center" w:leader="dot" w:pos="1701"/>
              </w:tabs>
              <w:rPr>
                <w:rFonts w:asciiTheme="minorHAnsi" w:hAnsiTheme="minorHAnsi" w:cstheme="minorHAnsi"/>
                <w:lang w:val="nl-BE"/>
              </w:rPr>
            </w:pPr>
            <w:r w:rsidRPr="003163AA">
              <w:rPr>
                <w:rFonts w:asciiTheme="minorHAnsi" w:hAnsiTheme="minorHAnsi" w:cstheme="minorHAnsi"/>
                <w:lang w:val="nl-BE"/>
              </w:rPr>
              <w:tab/>
            </w:r>
          </w:p>
        </w:tc>
        <w:tc>
          <w:tcPr>
            <w:tcW w:w="2077" w:type="dxa"/>
            <w:tcBorders>
              <w:bottom w:val="nil"/>
            </w:tcBorders>
          </w:tcPr>
          <w:p w:rsidR="00DF3BD3" w:rsidRPr="003163AA" w:rsidRDefault="00DF3BD3" w:rsidP="00DF3BD3">
            <w:pPr>
              <w:tabs>
                <w:tab w:val="center" w:leader="dot" w:pos="1701"/>
              </w:tabs>
              <w:rPr>
                <w:rFonts w:asciiTheme="minorHAnsi" w:hAnsiTheme="minorHAnsi" w:cstheme="minorHAnsi"/>
                <w:lang w:val="nl-BE"/>
              </w:rPr>
            </w:pPr>
            <w:r w:rsidRPr="003163AA">
              <w:rPr>
                <w:rFonts w:asciiTheme="minorHAnsi" w:hAnsiTheme="minorHAnsi" w:cstheme="minorHAnsi"/>
                <w:lang w:val="nl-BE"/>
              </w:rPr>
              <w:tab/>
            </w:r>
          </w:p>
        </w:tc>
      </w:tr>
      <w:tr w:rsidR="00DF3BD3" w:rsidRPr="00C60DF9" w:rsidTr="003163AA">
        <w:tc>
          <w:tcPr>
            <w:tcW w:w="3619"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7" w:type="dxa"/>
            <w:tcBorders>
              <w:top w:val="nil"/>
              <w:bottom w:val="nil"/>
            </w:tcBorders>
          </w:tcPr>
          <w:p w:rsidR="00DF3BD3" w:rsidRPr="003163AA" w:rsidRDefault="00DF3BD3" w:rsidP="00DF3BD3">
            <w:pPr>
              <w:rPr>
                <w:rFonts w:asciiTheme="minorHAnsi" w:hAnsiTheme="minorHAnsi" w:cstheme="minorHAnsi"/>
                <w:lang w:val="nl-BE"/>
              </w:rPr>
            </w:pPr>
          </w:p>
        </w:tc>
      </w:tr>
      <w:tr w:rsidR="00DF3BD3" w:rsidRPr="00C60DF9" w:rsidTr="003163AA">
        <w:tc>
          <w:tcPr>
            <w:tcW w:w="3619"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7" w:type="dxa"/>
            <w:tcBorders>
              <w:top w:val="nil"/>
              <w:bottom w:val="nil"/>
            </w:tcBorders>
          </w:tcPr>
          <w:p w:rsidR="00DF3BD3" w:rsidRPr="003163AA" w:rsidRDefault="00DF3BD3" w:rsidP="00DF3BD3">
            <w:pPr>
              <w:rPr>
                <w:rFonts w:asciiTheme="minorHAnsi" w:hAnsiTheme="minorHAnsi" w:cstheme="minorHAnsi"/>
                <w:lang w:val="nl-BE"/>
              </w:rPr>
            </w:pPr>
          </w:p>
        </w:tc>
      </w:tr>
      <w:tr w:rsidR="00DF3BD3" w:rsidRPr="00C60DF9" w:rsidTr="003163AA">
        <w:tc>
          <w:tcPr>
            <w:tcW w:w="3619"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7" w:type="dxa"/>
            <w:tcBorders>
              <w:top w:val="nil"/>
              <w:bottom w:val="nil"/>
            </w:tcBorders>
          </w:tcPr>
          <w:p w:rsidR="00DF3BD3" w:rsidRPr="003163AA" w:rsidRDefault="00DF3BD3" w:rsidP="00DF3BD3">
            <w:pPr>
              <w:rPr>
                <w:rFonts w:asciiTheme="minorHAnsi" w:hAnsiTheme="minorHAnsi" w:cstheme="minorHAnsi"/>
                <w:lang w:val="nl-BE"/>
              </w:rPr>
            </w:pPr>
          </w:p>
        </w:tc>
      </w:tr>
      <w:tr w:rsidR="00DF3BD3" w:rsidRPr="00C60DF9" w:rsidTr="003163AA">
        <w:tc>
          <w:tcPr>
            <w:tcW w:w="3619"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7" w:type="dxa"/>
            <w:tcBorders>
              <w:top w:val="nil"/>
              <w:bottom w:val="nil"/>
            </w:tcBorders>
          </w:tcPr>
          <w:p w:rsidR="00DF3BD3" w:rsidRPr="003163AA" w:rsidRDefault="00DF3BD3" w:rsidP="00DF3BD3">
            <w:pPr>
              <w:rPr>
                <w:rFonts w:asciiTheme="minorHAnsi" w:hAnsiTheme="minorHAnsi" w:cstheme="minorHAnsi"/>
                <w:lang w:val="nl-BE"/>
              </w:rPr>
            </w:pPr>
          </w:p>
        </w:tc>
      </w:tr>
      <w:tr w:rsidR="00DF3BD3" w:rsidRPr="00C60DF9" w:rsidTr="003163AA">
        <w:tc>
          <w:tcPr>
            <w:tcW w:w="3619"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7" w:type="dxa"/>
            <w:tcBorders>
              <w:top w:val="nil"/>
              <w:bottom w:val="nil"/>
            </w:tcBorders>
          </w:tcPr>
          <w:p w:rsidR="00DF3BD3" w:rsidRPr="003163AA" w:rsidRDefault="00DF3BD3" w:rsidP="00DF3BD3">
            <w:pPr>
              <w:rPr>
                <w:rFonts w:asciiTheme="minorHAnsi" w:hAnsiTheme="minorHAnsi" w:cstheme="minorHAnsi"/>
                <w:lang w:val="nl-BE"/>
              </w:rPr>
            </w:pPr>
          </w:p>
        </w:tc>
      </w:tr>
      <w:tr w:rsidR="00DF3BD3" w:rsidRPr="00C60DF9" w:rsidTr="003163AA">
        <w:tc>
          <w:tcPr>
            <w:tcW w:w="3619"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7" w:type="dxa"/>
            <w:tcBorders>
              <w:top w:val="nil"/>
              <w:bottom w:val="nil"/>
            </w:tcBorders>
          </w:tcPr>
          <w:p w:rsidR="00DF3BD3" w:rsidRPr="003163AA" w:rsidRDefault="00DF3BD3" w:rsidP="00DF3BD3">
            <w:pPr>
              <w:rPr>
                <w:rFonts w:asciiTheme="minorHAnsi" w:hAnsiTheme="minorHAnsi" w:cstheme="minorHAnsi"/>
                <w:lang w:val="nl-BE"/>
              </w:rPr>
            </w:pPr>
          </w:p>
        </w:tc>
      </w:tr>
      <w:tr w:rsidR="00DF3BD3" w:rsidRPr="00C60DF9" w:rsidTr="003163AA">
        <w:tc>
          <w:tcPr>
            <w:tcW w:w="3619"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6" w:type="dxa"/>
            <w:tcBorders>
              <w:top w:val="nil"/>
              <w:bottom w:val="nil"/>
            </w:tcBorders>
          </w:tcPr>
          <w:p w:rsidR="00DF3BD3" w:rsidRPr="003163AA" w:rsidRDefault="00DF3BD3" w:rsidP="00DF3BD3">
            <w:pPr>
              <w:rPr>
                <w:rFonts w:asciiTheme="minorHAnsi" w:hAnsiTheme="minorHAnsi" w:cstheme="minorHAnsi"/>
                <w:lang w:val="nl-BE"/>
              </w:rPr>
            </w:pPr>
          </w:p>
        </w:tc>
        <w:tc>
          <w:tcPr>
            <w:tcW w:w="2077" w:type="dxa"/>
            <w:tcBorders>
              <w:top w:val="nil"/>
              <w:bottom w:val="nil"/>
            </w:tcBorders>
          </w:tcPr>
          <w:p w:rsidR="00DF3BD3" w:rsidRPr="003163AA" w:rsidRDefault="00DF3BD3" w:rsidP="00DF3BD3">
            <w:pPr>
              <w:rPr>
                <w:rFonts w:asciiTheme="minorHAnsi" w:hAnsiTheme="minorHAnsi" w:cstheme="minorHAnsi"/>
                <w:lang w:val="nl-BE"/>
              </w:rPr>
            </w:pPr>
          </w:p>
        </w:tc>
      </w:tr>
      <w:tr w:rsidR="00DF3BD3" w:rsidTr="003163AA">
        <w:trPr>
          <w:trHeight w:val="358"/>
        </w:trPr>
        <w:tc>
          <w:tcPr>
            <w:tcW w:w="3619" w:type="dxa"/>
          </w:tcPr>
          <w:p w:rsidR="00DF3BD3" w:rsidRPr="003163AA" w:rsidRDefault="00E954F8" w:rsidP="00E954F8">
            <w:pPr>
              <w:rPr>
                <w:rFonts w:asciiTheme="minorHAnsi" w:hAnsiTheme="minorHAnsi" w:cstheme="minorHAnsi"/>
                <w:lang w:val="nl-BE"/>
              </w:rPr>
            </w:pPr>
            <w:r w:rsidRPr="003163AA">
              <w:rPr>
                <w:rFonts w:asciiTheme="minorHAnsi" w:hAnsiTheme="minorHAnsi" w:cstheme="minorHAnsi"/>
                <w:lang w:val="nl-BE"/>
              </w:rPr>
              <w:t>TOTA</w:t>
            </w:r>
            <w:r w:rsidR="00EE6742" w:rsidRPr="003163AA">
              <w:rPr>
                <w:rFonts w:asciiTheme="minorHAnsi" w:hAnsiTheme="minorHAnsi" w:cstheme="minorHAnsi"/>
                <w:lang w:val="nl-BE"/>
              </w:rPr>
              <w:t>A</w:t>
            </w:r>
            <w:r w:rsidRPr="003163AA">
              <w:rPr>
                <w:rFonts w:asciiTheme="minorHAnsi" w:hAnsiTheme="minorHAnsi" w:cstheme="minorHAnsi"/>
                <w:lang w:val="nl-BE"/>
              </w:rPr>
              <w:t>L</w:t>
            </w:r>
          </w:p>
        </w:tc>
        <w:tc>
          <w:tcPr>
            <w:tcW w:w="2076" w:type="dxa"/>
          </w:tcPr>
          <w:p w:rsidR="00DF3BD3" w:rsidRPr="003163AA" w:rsidRDefault="00DF3BD3" w:rsidP="00DF3BD3">
            <w:pPr>
              <w:rPr>
                <w:rFonts w:asciiTheme="minorHAnsi" w:hAnsiTheme="minorHAnsi" w:cstheme="minorHAnsi"/>
                <w:lang w:val="nl-BE"/>
              </w:rPr>
            </w:pPr>
          </w:p>
        </w:tc>
        <w:tc>
          <w:tcPr>
            <w:tcW w:w="2076" w:type="dxa"/>
          </w:tcPr>
          <w:p w:rsidR="00DF3BD3" w:rsidRPr="003163AA" w:rsidRDefault="00DF3BD3" w:rsidP="00DF3BD3">
            <w:pPr>
              <w:rPr>
                <w:rFonts w:asciiTheme="minorHAnsi" w:hAnsiTheme="minorHAnsi" w:cstheme="minorHAnsi"/>
                <w:lang w:val="nl-BE"/>
              </w:rPr>
            </w:pPr>
          </w:p>
        </w:tc>
        <w:tc>
          <w:tcPr>
            <w:tcW w:w="2076" w:type="dxa"/>
          </w:tcPr>
          <w:p w:rsidR="00DF3BD3" w:rsidRPr="003163AA" w:rsidRDefault="00DF3BD3" w:rsidP="00DF3BD3">
            <w:pPr>
              <w:rPr>
                <w:rFonts w:asciiTheme="minorHAnsi" w:hAnsiTheme="minorHAnsi" w:cstheme="minorHAnsi"/>
                <w:lang w:val="nl-BE"/>
              </w:rPr>
            </w:pPr>
          </w:p>
        </w:tc>
        <w:tc>
          <w:tcPr>
            <w:tcW w:w="2076" w:type="dxa"/>
          </w:tcPr>
          <w:p w:rsidR="00DF3BD3" w:rsidRPr="003163AA" w:rsidRDefault="00E954F8" w:rsidP="00DF3BD3">
            <w:pPr>
              <w:rPr>
                <w:rFonts w:asciiTheme="minorHAnsi" w:hAnsiTheme="minorHAnsi" w:cstheme="minorHAnsi"/>
                <w:lang w:val="nl-BE"/>
              </w:rPr>
            </w:pPr>
            <w:r w:rsidRPr="003163AA">
              <w:rPr>
                <w:rFonts w:asciiTheme="minorHAnsi" w:hAnsiTheme="minorHAnsi" w:cstheme="minorHAnsi"/>
                <w:lang w:val="nl-BE"/>
              </w:rPr>
              <w:t>EUR</w:t>
            </w:r>
          </w:p>
        </w:tc>
        <w:tc>
          <w:tcPr>
            <w:tcW w:w="2077" w:type="dxa"/>
          </w:tcPr>
          <w:p w:rsidR="00DF3BD3" w:rsidRPr="003163AA" w:rsidRDefault="00DF3BD3" w:rsidP="00DF3BD3">
            <w:pPr>
              <w:rPr>
                <w:rFonts w:asciiTheme="minorHAnsi" w:hAnsiTheme="minorHAnsi" w:cstheme="minorHAnsi"/>
                <w:lang w:val="nl-BE"/>
              </w:rPr>
            </w:pPr>
          </w:p>
        </w:tc>
      </w:tr>
    </w:tbl>
    <w:p w:rsidR="00DF3BD3" w:rsidRPr="003163AA" w:rsidRDefault="00DF3BD3" w:rsidP="00DF3BD3">
      <w:pPr>
        <w:rPr>
          <w:lang w:val="nl-BE"/>
        </w:rPr>
      </w:pPr>
    </w:p>
    <w:p w:rsidR="00E954F8" w:rsidRDefault="00EE6742" w:rsidP="00DA496B">
      <w:pPr>
        <w:tabs>
          <w:tab w:val="clear" w:pos="9072"/>
          <w:tab w:val="left" w:leader="dot" w:pos="13041"/>
        </w:tabs>
        <w:rPr>
          <w:lang w:val="fr-BE"/>
        </w:rPr>
      </w:pPr>
      <w:proofErr w:type="spellStart"/>
      <w:r w:rsidRPr="003163AA">
        <w:rPr>
          <w:lang w:val="nl-BE"/>
        </w:rPr>
        <w:t>Opge</w:t>
      </w:r>
      <w:r>
        <w:rPr>
          <w:lang w:val="fr-BE"/>
        </w:rPr>
        <w:t>maakt</w:t>
      </w:r>
      <w:proofErr w:type="spellEnd"/>
      <w:r>
        <w:rPr>
          <w:lang w:val="fr-BE"/>
        </w:rPr>
        <w:t xml:space="preserve"> te</w:t>
      </w:r>
      <w:r w:rsidR="00E954F8">
        <w:rPr>
          <w:lang w:val="fr-BE"/>
        </w:rPr>
        <w:t xml:space="preserve"> </w:t>
      </w:r>
      <w:r w:rsidR="00E954F8">
        <w:rPr>
          <w:lang w:val="fr-BE"/>
        </w:rPr>
        <w:tab/>
      </w:r>
    </w:p>
    <w:p w:rsidR="00E954F8" w:rsidRDefault="00EE6742" w:rsidP="00DA496B">
      <w:pPr>
        <w:tabs>
          <w:tab w:val="clear" w:pos="9072"/>
          <w:tab w:val="left" w:leader="dot" w:pos="13041"/>
        </w:tabs>
        <w:rPr>
          <w:lang w:val="fr-BE"/>
        </w:rPr>
      </w:pPr>
      <w:r>
        <w:rPr>
          <w:lang w:val="fr-BE"/>
        </w:rPr>
        <w:t>Op</w:t>
      </w:r>
      <w:r w:rsidR="00E954F8">
        <w:rPr>
          <w:lang w:val="fr-BE"/>
        </w:rPr>
        <w:tab/>
      </w:r>
    </w:p>
    <w:p w:rsidR="00E954F8" w:rsidRPr="00DF3BD3" w:rsidRDefault="00EE6742" w:rsidP="00DF3BD3">
      <w:pPr>
        <w:rPr>
          <w:lang w:val="fr-BE"/>
        </w:rPr>
      </w:pPr>
      <w:proofErr w:type="spellStart"/>
      <w:r w:rsidRPr="00EE6742">
        <w:rPr>
          <w:lang w:val="fr-BE"/>
        </w:rPr>
        <w:t>Handtekening</w:t>
      </w:r>
      <w:proofErr w:type="spellEnd"/>
      <w:r w:rsidR="00E954F8">
        <w:rPr>
          <w:lang w:val="fr-BE"/>
        </w:rPr>
        <w:t>:</w:t>
      </w:r>
    </w:p>
    <w:sectPr w:rsidR="00E954F8" w:rsidRPr="00DF3BD3" w:rsidSect="00614283">
      <w:headerReference w:type="first" r:id="rId11"/>
      <w:pgSz w:w="16838" w:h="11906" w:orient="landscape"/>
      <w:pgMar w:top="1418" w:right="226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AA" w:rsidRPr="00246767" w:rsidRDefault="003163AA" w:rsidP="003163AA">
    <w:pPr>
      <w:pStyle w:val="Voettekst"/>
      <w:jc w:val="center"/>
    </w:pPr>
    <w:r>
      <w:t>www.iriscare.be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246767" w:rsidRDefault="003163AA" w:rsidP="003163AA">
    <w:pPr>
      <w:pStyle w:val="Voettekst"/>
      <w:jc w:val="center"/>
    </w:pPr>
    <w:r>
      <w:t>www.iriscare.be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A8139F" w:rsidRDefault="00DA496B"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28.35pt;width:78.5pt;height:71pt;z-index:251659264;mso-position-horizontal:absolute;mso-position-horizontal-relative:text;mso-position-vertical:absolute;mso-position-vertical-relative:top-margin-area">
          <v:imagedata r:id="rId1" o:title="Iriscare"/>
          <w10:wrap type="topAndBottom"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83" w:rsidRPr="00A8139F" w:rsidRDefault="00614283"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240791D"/>
    <w:multiLevelType w:val="hybridMultilevel"/>
    <w:tmpl w:val="832E167C"/>
    <w:lvl w:ilvl="0" w:tplc="A42A4BE2">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5233AE"/>
    <w:multiLevelType w:val="hybridMultilevel"/>
    <w:tmpl w:val="723CE094"/>
    <w:lvl w:ilvl="0" w:tplc="89A63FA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5AF51A5"/>
    <w:multiLevelType w:val="hybridMultilevel"/>
    <w:tmpl w:val="DA38217C"/>
    <w:lvl w:ilvl="0" w:tplc="89A63FA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9871F95"/>
    <w:multiLevelType w:val="hybridMultilevel"/>
    <w:tmpl w:val="4E68475C"/>
    <w:lvl w:ilvl="0" w:tplc="D344740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9C916CB"/>
    <w:multiLevelType w:val="hybridMultilevel"/>
    <w:tmpl w:val="A77A7262"/>
    <w:lvl w:ilvl="0" w:tplc="89A63FA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9"/>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163AA"/>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67141"/>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25BD4"/>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4283"/>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3B0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76056"/>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28F7"/>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0DF9"/>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496B"/>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3BD3"/>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4F8"/>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E6742"/>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1AE0"/>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AD9A551"/>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CB0F-6935-4956-B8DD-7EC3DD30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11264</Characters>
  <Application>Microsoft Office Word</Application>
  <DocSecurity>0</DocSecurity>
  <Lines>93</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13285</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7</cp:revision>
  <cp:lastPrinted>2018-12-19T10:03:00Z</cp:lastPrinted>
  <dcterms:created xsi:type="dcterms:W3CDTF">2019-07-23T09:11:00Z</dcterms:created>
  <dcterms:modified xsi:type="dcterms:W3CDTF">2019-07-25T12:35:00Z</dcterms:modified>
</cp:coreProperties>
</file>