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C3" w:rsidRDefault="00E575C3" w:rsidP="00E575C3">
      <w:pPr>
        <w:pStyle w:val="Kop1"/>
        <w:rPr>
          <w:lang w:val="nl-BE"/>
        </w:rPr>
      </w:pPr>
      <w:r w:rsidRPr="00E575C3">
        <w:rPr>
          <w:lang w:val="nl-BE"/>
        </w:rPr>
        <w:t>Omzendbrief van de Beheerraad voor Gezondheid en Bijstand aan Personen van 20 december 2018 en van 26 februari 2019 betreffende de Mobiliteitshulpmiddelen en de overeenkomsten voor functionele revalidatie bepaald in het kader van de nomenclatuur van de mobiliteitshulpmiddelen</w:t>
      </w:r>
    </w:p>
    <w:p w:rsidR="003F4B05" w:rsidRPr="00E575C3" w:rsidRDefault="00E575C3" w:rsidP="00E575C3">
      <w:pPr>
        <w:pStyle w:val="Kop1"/>
        <w:rPr>
          <w:lang w:val="nl-BE"/>
        </w:rPr>
      </w:pPr>
      <w:r w:rsidRPr="00E575C3">
        <w:rPr>
          <w:lang w:val="nl-BE"/>
        </w:rPr>
        <w:t>Kenmerk: MOB 201812/1 Omzendbrief CO</w:t>
      </w:r>
    </w:p>
    <w:p w:rsidR="003F4B05" w:rsidRPr="00476A80" w:rsidRDefault="003F4B05" w:rsidP="003F4B05">
      <w:pPr>
        <w:pStyle w:val="Kop2"/>
        <w:rPr>
          <w:lang w:val="nl-BE"/>
        </w:rPr>
      </w:pPr>
      <w:r w:rsidRPr="002915A3">
        <w:rPr>
          <w:lang w:val="nl-BE"/>
        </w:rPr>
        <w:t xml:space="preserve">1. </w:t>
      </w:r>
      <w:r w:rsidR="002915A3" w:rsidRPr="00476A80">
        <w:rPr>
          <w:lang w:val="nl-BE"/>
        </w:rPr>
        <w:t>Inleiding</w:t>
      </w:r>
    </w:p>
    <w:p w:rsidR="00476A80" w:rsidRPr="00476A80" w:rsidRDefault="00476A80" w:rsidP="00476A80">
      <w:pPr>
        <w:rPr>
          <w:lang w:val="nl-BE"/>
        </w:rPr>
      </w:pPr>
      <w:r w:rsidRPr="00476A80">
        <w:rPr>
          <w:lang w:val="nl-BE"/>
        </w:rPr>
        <w:t>Als gevolg van de zesde staatshervorming kreeg de Gemeenschappelijke Gemeenschapscommissie een reeks bevoegdheden in verband met gezondheid en bijstand aan personen, waaronder de mobiliteitshulpmiddelen.</w:t>
      </w:r>
    </w:p>
    <w:p w:rsidR="00476A80" w:rsidRPr="00476A80" w:rsidRDefault="00476A80" w:rsidP="00476A80">
      <w:pPr>
        <w:rPr>
          <w:lang w:val="nl-BE"/>
        </w:rPr>
      </w:pPr>
      <w:r w:rsidRPr="00476A80">
        <w:rPr>
          <w:lang w:val="nl-BE"/>
        </w:rPr>
        <w:t>Het RIZIV heeft van 2014 tot 31 december 2018 de overgedragen bevoegdheden voor rekening van de deelentiteiten beheerd, maar sinds 1 januari 2019 zijn de deelentiteiten volledig bevoegd geworden.</w:t>
      </w:r>
    </w:p>
    <w:p w:rsidR="00476A80" w:rsidRPr="00476A80" w:rsidRDefault="00476A80" w:rsidP="00476A80">
      <w:pPr>
        <w:rPr>
          <w:lang w:val="nl-BE"/>
        </w:rPr>
      </w:pPr>
      <w:r w:rsidRPr="00476A80">
        <w:rPr>
          <w:lang w:val="nl-BE"/>
        </w:rPr>
        <w:t>Iriscare is de instelling in de Gemeenschappelijke Gemeenschapscommissie die deze overgedragen bevoegdheden, waaronder de mobiliteitshulpmiddelen, beheert en financiert.</w:t>
      </w:r>
    </w:p>
    <w:p w:rsidR="00476A80" w:rsidRPr="00476A80" w:rsidRDefault="00476A80" w:rsidP="00476A80">
      <w:pPr>
        <w:rPr>
          <w:lang w:val="nl-BE"/>
        </w:rPr>
      </w:pPr>
      <w:r w:rsidRPr="00476A80">
        <w:rPr>
          <w:lang w:val="nl-BE"/>
        </w:rPr>
        <w:t>De overname van de bevoegdheid voor de mobiliteitshulpmiddelen door Iriscare gebeurt vanuit een AS IS perspectief, waarbij het de bedoeling is het beheer van de bevoegdheid op federaal niveau zo goed mogelijk voort te zetten.</w:t>
      </w:r>
    </w:p>
    <w:p w:rsidR="00476A80" w:rsidRPr="00476A80" w:rsidRDefault="00476A80" w:rsidP="00476A80">
      <w:pPr>
        <w:rPr>
          <w:lang w:val="nl-BE"/>
        </w:rPr>
      </w:pPr>
      <w:r w:rsidRPr="00476A80">
        <w:rPr>
          <w:lang w:val="nl-BE"/>
        </w:rPr>
        <w:t>Iriscare beheert de mobiliteitshulpmiddelen verder volgens dezelfde logica als voordien, met een nomenclatuur en een productenlijst.</w:t>
      </w:r>
    </w:p>
    <w:p w:rsidR="00476A80" w:rsidRPr="00476A80" w:rsidRDefault="00476A80" w:rsidP="00476A80">
      <w:pPr>
        <w:rPr>
          <w:lang w:val="nl-BE"/>
        </w:rPr>
      </w:pPr>
      <w:r w:rsidRPr="00476A80">
        <w:rPr>
          <w:lang w:val="nl-BE"/>
        </w:rPr>
        <w:t>Het beheercircuit van de hulpmiddelen is niet gewijzigd.</w:t>
      </w:r>
    </w:p>
    <w:p w:rsidR="00476A80" w:rsidRPr="00476A80" w:rsidRDefault="00476A80" w:rsidP="00476A80">
      <w:pPr>
        <w:rPr>
          <w:lang w:val="nl-BE"/>
        </w:rPr>
      </w:pPr>
      <w:r w:rsidRPr="00476A80">
        <w:rPr>
          <w:lang w:val="nl-BE"/>
        </w:rPr>
        <w:t>Dat betekent concreet dat de geldende procedures en regels op 31 december 2018 in hun geheel gehandhaafd blijven, behoudens tegengestelde precisering.</w:t>
      </w:r>
    </w:p>
    <w:p w:rsidR="00476A80" w:rsidRPr="00476A80" w:rsidRDefault="00476A80" w:rsidP="00476A80">
      <w:pPr>
        <w:rPr>
          <w:lang w:val="nl-BE"/>
        </w:rPr>
      </w:pPr>
      <w:r w:rsidRPr="00476A80">
        <w:rPr>
          <w:lang w:val="nl-BE"/>
        </w:rPr>
        <w:t>Op verzoek van de sector werd de term bandagist mobiliteitshulpmiddelen vervangen door orthopedische technoloog in de mobiliteitshulpmiddelen.</w:t>
      </w:r>
    </w:p>
    <w:p w:rsidR="00476A80" w:rsidRPr="00476A80" w:rsidRDefault="00476A80" w:rsidP="00476A80">
      <w:pPr>
        <w:rPr>
          <w:lang w:val="nl-BE"/>
        </w:rPr>
      </w:pPr>
      <w:r w:rsidRPr="00476A80">
        <w:rPr>
          <w:lang w:val="nl-BE"/>
        </w:rPr>
        <w:t>Vanaf 2019 zal Iriscare</w:t>
      </w:r>
    </w:p>
    <w:p w:rsidR="00476A80" w:rsidRPr="00476A80" w:rsidRDefault="00476A80" w:rsidP="00476A80">
      <w:pPr>
        <w:pStyle w:val="Lijstalinea"/>
        <w:rPr>
          <w:lang w:val="nl-BE"/>
        </w:rPr>
      </w:pPr>
      <w:r w:rsidRPr="00476A80">
        <w:rPr>
          <w:lang w:val="nl-BE"/>
        </w:rPr>
        <w:t>de productenlijst beheren</w:t>
      </w:r>
    </w:p>
    <w:p w:rsidR="00476A80" w:rsidRPr="00476A80" w:rsidRDefault="00476A80" w:rsidP="00476A80">
      <w:pPr>
        <w:pStyle w:val="Lijstalinea"/>
        <w:rPr>
          <w:lang w:val="nl-BE"/>
        </w:rPr>
      </w:pPr>
      <w:r w:rsidRPr="00476A80">
        <w:rPr>
          <w:lang w:val="nl-BE"/>
        </w:rPr>
        <w:t>de reglementering en de formulieren verspreiden</w:t>
      </w:r>
    </w:p>
    <w:p w:rsidR="00476A80" w:rsidRPr="00476A80" w:rsidRDefault="00476A80" w:rsidP="00476A80">
      <w:pPr>
        <w:pStyle w:val="Lijstalinea"/>
        <w:rPr>
          <w:lang w:val="nl-BE"/>
        </w:rPr>
      </w:pPr>
      <w:r w:rsidRPr="00476A80">
        <w:rPr>
          <w:lang w:val="nl-BE"/>
        </w:rPr>
        <w:t>de mobiliteitshulpmiddelen financieren voor personen die in het Brussels Hoofdstedelijk Gewest wonen (en die geen beroep hebben gedaan op de Vlaamse sociale bescherming);</w:t>
      </w:r>
    </w:p>
    <w:p w:rsidR="000714E5" w:rsidRDefault="00476A80" w:rsidP="00476A80">
      <w:pPr>
        <w:pStyle w:val="Lijstalinea"/>
        <w:rPr>
          <w:lang w:val="nl-BE"/>
        </w:rPr>
        <w:sectPr w:rsidR="000714E5" w:rsidSect="00246767">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284" w:footer="567" w:gutter="0"/>
          <w:cols w:space="708"/>
          <w:titlePg/>
          <w:docGrid w:linePitch="360"/>
        </w:sectPr>
      </w:pPr>
      <w:r w:rsidRPr="00476A80">
        <w:rPr>
          <w:lang w:val="nl-BE"/>
        </w:rPr>
        <w:t>de multidisciplinaire evaluatieverslagen voor de drie revalidatiecentra financieren (zie het punt daarover).</w:t>
      </w:r>
    </w:p>
    <w:p w:rsidR="003F4B05" w:rsidRPr="00476A80" w:rsidRDefault="003F4B05" w:rsidP="003F4B05">
      <w:pPr>
        <w:pStyle w:val="Kop2"/>
        <w:rPr>
          <w:lang w:val="nl-BE"/>
        </w:rPr>
      </w:pPr>
      <w:r w:rsidRPr="00476A80">
        <w:rPr>
          <w:lang w:val="nl-BE"/>
        </w:rPr>
        <w:lastRenderedPageBreak/>
        <w:t xml:space="preserve">2. </w:t>
      </w:r>
      <w:r w:rsidR="00476A80" w:rsidRPr="00476A80">
        <w:rPr>
          <w:lang w:val="nl-BE"/>
        </w:rPr>
        <w:t>Rechtsgronden (onvolledig)</w:t>
      </w:r>
    </w:p>
    <w:p w:rsidR="00476A80" w:rsidRPr="00476A80" w:rsidRDefault="00476A80" w:rsidP="00476A80">
      <w:pPr>
        <w:rPr>
          <w:lang w:val="nl-BE"/>
        </w:rPr>
      </w:pPr>
      <w:r w:rsidRPr="00476A80">
        <w:rPr>
          <w:lang w:val="nl-BE"/>
        </w:rPr>
        <w:t>In afwachting van de goedkeuring van de nieuwe teksten (samenwerkingsakkoorden, ordonnantie en besluit) bevat deze omzendbrief een reeks bepalingen en toepassingsregels.</w:t>
      </w:r>
    </w:p>
    <w:p w:rsidR="00476A80" w:rsidRPr="00476A80" w:rsidRDefault="00476A80" w:rsidP="00476A80">
      <w:pPr>
        <w:rPr>
          <w:lang w:val="nl-BE"/>
        </w:rPr>
      </w:pPr>
      <w:r w:rsidRPr="00476A80">
        <w:rPr>
          <w:lang w:val="nl-BE"/>
        </w:rPr>
        <w:t>De wet van 14 juli 1994 betreffende de verplichte verzekering voor geneeskundige verzorging en uitkeringen, gecoördineerd op 14 juli 1994, in het bijzonder de artikelen 34, 4° en 35, § 1, eerste lid blijft van toepassing.</w:t>
      </w:r>
    </w:p>
    <w:p w:rsidR="00476A80" w:rsidRPr="00476A80" w:rsidRDefault="00476A80" w:rsidP="00476A80">
      <w:pPr>
        <w:rPr>
          <w:lang w:val="nl-BE"/>
        </w:rPr>
      </w:pPr>
      <w:r w:rsidRPr="00476A80">
        <w:rPr>
          <w:lang w:val="nl-BE"/>
        </w:rPr>
        <w:t>Drie samenwerkingsakkoorden die rechtstreeks of onrechtstreeks verband houden met mobiliteitshulpmiddelen zullen op 1 januari 2019 een terugwerkende kracht hebben:</w:t>
      </w:r>
    </w:p>
    <w:p w:rsidR="00476A80" w:rsidRPr="00476A80" w:rsidRDefault="00476A80" w:rsidP="00476A80">
      <w:pPr>
        <w:pStyle w:val="Lijstalinea"/>
        <w:rPr>
          <w:lang w:val="nl-BE"/>
        </w:rPr>
      </w:pPr>
      <w:r w:rsidRPr="00476A80">
        <w:rPr>
          <w:lang w:val="nl-BE"/>
        </w:rPr>
        <w:t>Het samenwerkingsakkoord tussen de verschillende Belgische deelentiteiten betreffende de financiering van zorg bij gebruik van zorgvoorzieningen over de grenzen van de deelentiteit</w:t>
      </w:r>
    </w:p>
    <w:p w:rsidR="00476A80" w:rsidRPr="00476A80" w:rsidRDefault="00476A80" w:rsidP="00476A80">
      <w:pPr>
        <w:pStyle w:val="Lijstalinea"/>
        <w:rPr>
          <w:lang w:val="nl-BE"/>
        </w:rPr>
      </w:pPr>
      <w:r w:rsidRPr="00476A80">
        <w:rPr>
          <w:lang w:val="nl-BE"/>
        </w:rPr>
        <w:t>het samenwerkingsakkoord tussen de Vlaamse Gemeenschap, het Waalse Gewest, de Franse Gemeenschapscommissie, de Gemeenschappelijke Gemeenschapscommissie en de Duitstalige Gemeenschap betreffende de mobiliteitshulpmiddelen;</w:t>
      </w:r>
    </w:p>
    <w:p w:rsidR="00476A80" w:rsidRPr="00476A80" w:rsidRDefault="00476A80" w:rsidP="00476A80">
      <w:pPr>
        <w:pStyle w:val="Lijstalinea"/>
        <w:rPr>
          <w:lang w:val="nl-BE"/>
        </w:rPr>
      </w:pPr>
      <w:r w:rsidRPr="00476A80">
        <w:rPr>
          <w:lang w:val="nl-BE"/>
        </w:rPr>
        <w:t>het samenwerkingsakkoord tussen de Vlaamse Gemeenschap, de Franse Gemeenschapscommissie en de Gemeenschappelijke Gemeenschapscommissie betreffende het uniek loket voor de mobiliteitshulpmiddelen in het tweetalige gebied Brussel-Hoofdstad.</w:t>
      </w:r>
    </w:p>
    <w:p w:rsidR="00476A80" w:rsidRPr="00476A80" w:rsidRDefault="00476A80" w:rsidP="00476A80">
      <w:pPr>
        <w:rPr>
          <w:lang w:val="nl-BE"/>
        </w:rPr>
      </w:pPr>
      <w:r w:rsidRPr="00476A80">
        <w:rPr>
          <w:lang w:val="nl-BE"/>
        </w:rPr>
        <w:t>Overige rechtsgronden:</w:t>
      </w:r>
    </w:p>
    <w:p w:rsidR="00476A80" w:rsidRPr="00476A80" w:rsidRDefault="00476A80" w:rsidP="00476A80">
      <w:pPr>
        <w:pStyle w:val="Lijstalinea"/>
        <w:rPr>
          <w:lang w:val="nl-BE"/>
        </w:rPr>
      </w:pPr>
      <w:r w:rsidRPr="00476A80">
        <w:rPr>
          <w:lang w:val="nl-BE"/>
        </w:rPr>
        <w:t>de ordonnantie van 23 maart 2017 houdende de oprichting van de bicommunautaire Dienst voor Gezondheid, Bijstand aan Personen en Gezinsbijslag die zal worden gewijzigd door de ordonnantie betreffende de overname van de bevoegdheden gezondheid en bijstand aan personen door de bicommunautaire Dienst voor Gezondheid, Bijstand aan Personen en Gezinsbijslag met terugwerkende kracht op 1 januari 2019 (officieuze versie ter beschikking op het internet).</w:t>
      </w:r>
    </w:p>
    <w:p w:rsidR="00476A80" w:rsidRPr="00476A80" w:rsidRDefault="00476A80" w:rsidP="00476A80">
      <w:pPr>
        <w:pStyle w:val="Lijstalinea"/>
        <w:rPr>
          <w:lang w:val="nl-BE"/>
        </w:rPr>
      </w:pPr>
      <w:r w:rsidRPr="00476A80">
        <w:rPr>
          <w:lang w:val="nl-BE"/>
        </w:rPr>
        <w:t>De ordonnantie betreffende de Brusselse verzekeringsinstellingen op het gebied van gezondheidszorg en de bijstand aan personen</w:t>
      </w:r>
    </w:p>
    <w:p w:rsidR="003F4B05" w:rsidRPr="005E6FCD" w:rsidRDefault="00476A80" w:rsidP="005E6FCD">
      <w:pPr>
        <w:rPr>
          <w:u w:val="single"/>
        </w:rPr>
      </w:pPr>
      <w:r w:rsidRPr="005E6FCD">
        <w:rPr>
          <w:u w:val="single"/>
        </w:rPr>
        <w:t>Nomenclatuur</w:t>
      </w:r>
    </w:p>
    <w:p w:rsidR="00476A80" w:rsidRPr="00476A80" w:rsidRDefault="00476A80" w:rsidP="000714E5">
      <w:pPr>
        <w:rPr>
          <w:b/>
          <w:bCs/>
          <w:caps/>
          <w:lang w:val="nl-BE"/>
        </w:rPr>
      </w:pPr>
      <w:r w:rsidRPr="00476A80">
        <w:rPr>
          <w:lang w:val="nl-BE"/>
        </w:rPr>
        <w:t>De federale nomenclatuur van de mobiliteitshulpmiddelen - art. 28 § 8 van de bijlage aan het koninklijk besluit van 14 september 1984 tot vaststelling van de nomenclatuur van de geneeskundige verstrekkingen inzake verplichte verzekering voor geneeskundige verzorging en uitkeringen - blijft van toepassing zolang er geen nieuwe regelgeving is aangenomen.</w:t>
      </w:r>
    </w:p>
    <w:p w:rsidR="00476A80" w:rsidRDefault="00476A80" w:rsidP="000714E5">
      <w:pPr>
        <w:rPr>
          <w:b/>
          <w:bCs/>
          <w:caps/>
          <w:lang w:val="nl-BE"/>
        </w:rPr>
      </w:pPr>
      <w:r w:rsidRPr="00476A80">
        <w:rPr>
          <w:lang w:val="nl-BE"/>
        </w:rPr>
        <w:t>De nomenclatuurcodes blijven dezelfde.</w:t>
      </w:r>
    </w:p>
    <w:p w:rsidR="003F4B05" w:rsidRPr="005E6FCD" w:rsidRDefault="00476A80" w:rsidP="005E6FCD">
      <w:pPr>
        <w:rPr>
          <w:u w:val="single"/>
        </w:rPr>
      </w:pPr>
      <w:r w:rsidRPr="005E6FCD">
        <w:rPr>
          <w:u w:val="single"/>
        </w:rPr>
        <w:t>Productenlijst</w:t>
      </w:r>
    </w:p>
    <w:p w:rsidR="003F4B05" w:rsidRPr="00476A80" w:rsidRDefault="00476A80" w:rsidP="003F4B05">
      <w:pPr>
        <w:rPr>
          <w:lang w:val="nl-BE"/>
        </w:rPr>
      </w:pPr>
      <w:r w:rsidRPr="00476A80">
        <w:rPr>
          <w:lang w:val="nl-BE"/>
        </w:rPr>
        <w:t>De productenlijsten zullen hetzelfde model houden en zullen op de website van Iriscare ter beschikking staan.</w:t>
      </w:r>
      <w:r w:rsidR="003F4B05" w:rsidRPr="00476A80">
        <w:rPr>
          <w:lang w:val="nl-BE"/>
        </w:rPr>
        <w:t xml:space="preserve"> </w:t>
      </w:r>
    </w:p>
    <w:p w:rsidR="003F4B05" w:rsidRPr="00476A80" w:rsidRDefault="003F4B05" w:rsidP="003F4B05">
      <w:pPr>
        <w:pStyle w:val="Kop2"/>
        <w:rPr>
          <w:lang w:val="nl-BE"/>
        </w:rPr>
      </w:pPr>
      <w:r w:rsidRPr="00476A80">
        <w:rPr>
          <w:lang w:val="nl-BE"/>
        </w:rPr>
        <w:t xml:space="preserve">3. </w:t>
      </w:r>
      <w:r w:rsidR="00476A80" w:rsidRPr="00476A80">
        <w:rPr>
          <w:lang w:val="nl-BE"/>
        </w:rPr>
        <w:t>Recht op een tegemoetkoming van Iriscare en Uniek loket</w:t>
      </w:r>
    </w:p>
    <w:p w:rsidR="00476A80" w:rsidRPr="00476A80" w:rsidRDefault="00476A80" w:rsidP="00476A80">
      <w:pPr>
        <w:rPr>
          <w:lang w:val="nl-BE"/>
        </w:rPr>
      </w:pPr>
      <w:r w:rsidRPr="00476A80">
        <w:rPr>
          <w:lang w:val="nl-BE"/>
        </w:rPr>
        <w:t>Iriscare is bevoegd voor de tegemoetkoming in het kader van de mobiliteitshulpmiddelen voor personen die in het Brussels Hoofdstedelijk Gewest gedomicilieerd zijn (ingeschreven in het Rijksregi</w:t>
      </w:r>
      <w:r>
        <w:rPr>
          <w:lang w:val="nl-BE"/>
        </w:rPr>
        <w:t>ster).</w:t>
      </w:r>
    </w:p>
    <w:p w:rsidR="00476A80" w:rsidRPr="00476A80" w:rsidRDefault="00476A80" w:rsidP="00476A80">
      <w:pPr>
        <w:rPr>
          <w:lang w:val="nl-BE"/>
        </w:rPr>
      </w:pPr>
      <w:r w:rsidRPr="00476A80">
        <w:rPr>
          <w:lang w:val="nl-BE"/>
        </w:rPr>
        <w:t xml:space="preserve">Personen met domicilie in het Brussels Hoofdstedelijk Gewest kunnen kiezen of ze een tegemoetkoming voor mobiliteitshulpmiddelen aanvragen bij Iriscare of bij de </w:t>
      </w:r>
      <w:proofErr w:type="spellStart"/>
      <w:r w:rsidRPr="00476A80">
        <w:rPr>
          <w:lang w:val="nl-BE"/>
        </w:rPr>
        <w:t>zorgkas</w:t>
      </w:r>
      <w:proofErr w:type="spellEnd"/>
      <w:r w:rsidRPr="00476A80">
        <w:rPr>
          <w:lang w:val="nl-BE"/>
        </w:rPr>
        <w:t xml:space="preserve"> van de Vlaamse sociale bescherming (als ze daarbij aangesloten zijn). De tegemoetkomingen zijn niet </w:t>
      </w:r>
      <w:proofErr w:type="spellStart"/>
      <w:r w:rsidRPr="00476A80">
        <w:rPr>
          <w:lang w:val="nl-BE"/>
        </w:rPr>
        <w:t>cumuleerbaar</w:t>
      </w:r>
      <w:proofErr w:type="spellEnd"/>
      <w:r w:rsidRPr="00476A80">
        <w:rPr>
          <w:lang w:val="nl-BE"/>
        </w:rPr>
        <w:t>.</w:t>
      </w:r>
    </w:p>
    <w:p w:rsidR="00476A80" w:rsidRPr="00476A80" w:rsidRDefault="00476A80" w:rsidP="00476A80">
      <w:pPr>
        <w:rPr>
          <w:lang w:val="nl-BE"/>
        </w:rPr>
      </w:pPr>
      <w:r w:rsidRPr="00476A80">
        <w:rPr>
          <w:lang w:val="nl-BE"/>
        </w:rPr>
        <w:lastRenderedPageBreak/>
        <w:t>Bij de aanvraag om tegemoetkoming voor een mobiliteitshulpmiddel zal men moeten kiezen tussen een tegemoetkoming van Iriscare of een tegemoetkoming van de Vlaamse sociale bescherming. De orthopedisch technoloog in de mobiliteitshulpmiddelen dient de aanvraag dan in aan de hand van de formulieren van Iriscare of via de toepassing van de Vlaamse sociale bescherming.</w:t>
      </w:r>
    </w:p>
    <w:p w:rsidR="00476A80" w:rsidRPr="00476A80" w:rsidRDefault="00476A80" w:rsidP="00476A80">
      <w:pPr>
        <w:rPr>
          <w:lang w:val="nl-BE"/>
        </w:rPr>
      </w:pPr>
      <w:r w:rsidRPr="00476A80">
        <w:rPr>
          <w:lang w:val="nl-BE"/>
        </w:rPr>
        <w:t xml:space="preserve">Voor bijkomende hulpmiddelen zal de Brusselse verzekeringsinstelling het dossier voor de erkende personen met een handicap, in voorkomend geval, doorsturen naar PHARE (zoals vroeger) of naar de </w:t>
      </w:r>
      <w:proofErr w:type="spellStart"/>
      <w:r w:rsidRPr="00476A80">
        <w:rPr>
          <w:lang w:val="nl-BE"/>
        </w:rPr>
        <w:t>zorgkas</w:t>
      </w:r>
      <w:proofErr w:type="spellEnd"/>
      <w:r w:rsidRPr="00476A80">
        <w:rPr>
          <w:lang w:val="nl-BE"/>
        </w:rPr>
        <w:t xml:space="preserve"> van de begunstigde (in de plaats van het VAPH).</w:t>
      </w:r>
    </w:p>
    <w:p w:rsidR="003F4B05" w:rsidRPr="00476A80" w:rsidRDefault="00476A80" w:rsidP="00476A80">
      <w:pPr>
        <w:rPr>
          <w:lang w:val="nl-BE"/>
        </w:rPr>
      </w:pPr>
      <w:r w:rsidRPr="00476A80">
        <w:rPr>
          <w:lang w:val="nl-BE"/>
        </w:rPr>
        <w:t xml:space="preserve">Die instellingen zullen de tegemoetkoming in de bijkomende hulpmiddelen opvolgen, voor onbepaalde duur voor PHARE en voor een overgangsperiode van vijf jaar voor de </w:t>
      </w:r>
      <w:proofErr w:type="spellStart"/>
      <w:r w:rsidRPr="00476A80">
        <w:rPr>
          <w:lang w:val="nl-BE"/>
        </w:rPr>
        <w:t>zorgkas</w:t>
      </w:r>
      <w:proofErr w:type="spellEnd"/>
      <w:r w:rsidRPr="00476A80">
        <w:rPr>
          <w:lang w:val="nl-BE"/>
        </w:rPr>
        <w:t>.</w:t>
      </w:r>
    </w:p>
    <w:p w:rsidR="003F4B05" w:rsidRPr="000714E5" w:rsidRDefault="003F4B05" w:rsidP="003F4B05">
      <w:pPr>
        <w:pStyle w:val="Kop2"/>
        <w:rPr>
          <w:lang w:val="nl-BE"/>
        </w:rPr>
      </w:pPr>
      <w:r w:rsidRPr="000714E5">
        <w:rPr>
          <w:lang w:val="nl-BE"/>
        </w:rPr>
        <w:t xml:space="preserve">4. </w:t>
      </w:r>
      <w:r w:rsidR="00476A80" w:rsidRPr="000714E5">
        <w:rPr>
          <w:lang w:val="nl-BE"/>
        </w:rPr>
        <w:t>Formulieren</w:t>
      </w:r>
    </w:p>
    <w:p w:rsidR="00476A80" w:rsidRPr="00476A80" w:rsidRDefault="00476A80" w:rsidP="00476A80">
      <w:pPr>
        <w:rPr>
          <w:lang w:val="nl-BE"/>
        </w:rPr>
      </w:pPr>
      <w:r w:rsidRPr="00476A80">
        <w:rPr>
          <w:lang w:val="nl-BE"/>
        </w:rPr>
        <w:t>De "RIZIV"-formulieren die op 31 december 2018 van kracht zijn in het kader van de mobiliteitshulpmiddelen blijven minste</w:t>
      </w:r>
      <w:r>
        <w:rPr>
          <w:lang w:val="nl-BE"/>
        </w:rPr>
        <w:t>ns tot 31 december 2019 geldig.</w:t>
      </w:r>
    </w:p>
    <w:p w:rsidR="00476A80" w:rsidRPr="00476A80" w:rsidRDefault="00476A80" w:rsidP="00476A80">
      <w:pPr>
        <w:rPr>
          <w:lang w:val="nl-BE"/>
        </w:rPr>
      </w:pPr>
      <w:r w:rsidRPr="00476A80">
        <w:rPr>
          <w:lang w:val="nl-BE"/>
        </w:rPr>
        <w:t>De door Iriscare bijgewerkte formulieren st</w:t>
      </w:r>
      <w:r>
        <w:rPr>
          <w:lang w:val="nl-BE"/>
        </w:rPr>
        <w:t>aan op de website van Iriscare.</w:t>
      </w:r>
    </w:p>
    <w:p w:rsidR="00476A80" w:rsidRPr="00476A80" w:rsidRDefault="00476A80" w:rsidP="00476A80">
      <w:pPr>
        <w:rPr>
          <w:lang w:val="nl-BE"/>
        </w:rPr>
      </w:pPr>
      <w:r w:rsidRPr="00476A80">
        <w:rPr>
          <w:lang w:val="nl-BE"/>
        </w:rPr>
        <w:t>Wanneer de persoon de "RIZIV"-formulieren gebruikt om een tegemoetkoming voor mobiliteitshulpmiddelen en/of aanpassingen aan te vragen (bijlage 20),</w:t>
      </w:r>
    </w:p>
    <w:p w:rsidR="00476A80" w:rsidRPr="00476A80" w:rsidRDefault="00476A80" w:rsidP="00476A80">
      <w:pPr>
        <w:pStyle w:val="Lijstalinea"/>
        <w:rPr>
          <w:lang w:val="nl-BE"/>
        </w:rPr>
      </w:pPr>
      <w:r w:rsidRPr="00476A80">
        <w:rPr>
          <w:lang w:val="nl-BE"/>
        </w:rPr>
        <w:t>en daarbij PHARE aankruist, dan zendt de Brusselse verzekeringsinstelling het dossier naar PHARE voor de tegemoetkoming in het kader van de bijkomende hulpmiddelen (zoals vroeger);</w:t>
      </w:r>
    </w:p>
    <w:p w:rsidR="00476A80" w:rsidRPr="00476A80" w:rsidRDefault="00476A80" w:rsidP="00476A80">
      <w:pPr>
        <w:pStyle w:val="Lijstalinea"/>
        <w:rPr>
          <w:lang w:val="nl-BE"/>
        </w:rPr>
      </w:pPr>
      <w:r w:rsidRPr="00476A80">
        <w:rPr>
          <w:lang w:val="nl-BE"/>
        </w:rPr>
        <w:t xml:space="preserve">en daarbij VAPH aankruist, dan zendt de Brusselse verzekeringsinstelling het dossier naar de </w:t>
      </w:r>
      <w:proofErr w:type="spellStart"/>
      <w:r w:rsidRPr="00476A80">
        <w:rPr>
          <w:lang w:val="nl-BE"/>
        </w:rPr>
        <w:t>zorgkas</w:t>
      </w:r>
      <w:proofErr w:type="spellEnd"/>
      <w:r w:rsidRPr="00476A80">
        <w:rPr>
          <w:lang w:val="nl-BE"/>
        </w:rPr>
        <w:t xml:space="preserve"> die bevoegd is voor de tegemoetkoming in het kader van de bijkomende hulpmiddelen (en niet meer naar het VAPH).</w:t>
      </w:r>
    </w:p>
    <w:p w:rsidR="003F4B05" w:rsidRPr="000714E5" w:rsidRDefault="003F4B05" w:rsidP="003F4B05">
      <w:pPr>
        <w:pStyle w:val="Kop2"/>
        <w:rPr>
          <w:lang w:val="nl-BE"/>
        </w:rPr>
      </w:pPr>
      <w:r w:rsidRPr="000714E5">
        <w:rPr>
          <w:lang w:val="nl-BE"/>
        </w:rPr>
        <w:t xml:space="preserve">5. </w:t>
      </w:r>
      <w:r w:rsidR="00476A80" w:rsidRPr="000714E5">
        <w:rPr>
          <w:lang w:val="nl-BE"/>
        </w:rPr>
        <w:t>Financiering</w:t>
      </w:r>
    </w:p>
    <w:p w:rsidR="00476A80" w:rsidRPr="00476A80" w:rsidRDefault="00476A80" w:rsidP="00476A80">
      <w:pPr>
        <w:rPr>
          <w:lang w:val="nl-BE"/>
        </w:rPr>
      </w:pPr>
      <w:r w:rsidRPr="00476A80">
        <w:rPr>
          <w:lang w:val="nl-BE"/>
        </w:rPr>
        <w:t>De wetgeving met betrekking tot de financiering verandert niet op 1 januari 2019.</w:t>
      </w:r>
    </w:p>
    <w:p w:rsidR="003F4B05" w:rsidRPr="00476A80" w:rsidRDefault="00476A80" w:rsidP="00476A80">
      <w:pPr>
        <w:rPr>
          <w:lang w:val="nl-BE"/>
        </w:rPr>
      </w:pPr>
      <w:r w:rsidRPr="00476A80">
        <w:rPr>
          <w:lang w:val="nl-BE"/>
        </w:rPr>
        <w:t>Om de continuïteit te garanderen, neemt Iriscare de federale regelgeving over, in afwachting dat zijn eigen regelgeving wordt aangenomen.</w:t>
      </w:r>
    </w:p>
    <w:p w:rsidR="003F4B05" w:rsidRPr="00476A80" w:rsidRDefault="003F4B05" w:rsidP="00476A80">
      <w:pPr>
        <w:pStyle w:val="Kop2"/>
        <w:rPr>
          <w:lang w:val="nl-BE"/>
        </w:rPr>
      </w:pPr>
      <w:r w:rsidRPr="00476A80">
        <w:rPr>
          <w:lang w:val="nl-BE"/>
        </w:rPr>
        <w:t xml:space="preserve">6. </w:t>
      </w:r>
      <w:r w:rsidR="00476A80" w:rsidRPr="00476A80">
        <w:rPr>
          <w:lang w:val="nl-BE"/>
        </w:rPr>
        <w:t>Brusselse verzekeringsinstellingen en de HZIV</w:t>
      </w:r>
    </w:p>
    <w:p w:rsidR="00476A80" w:rsidRPr="00476A80" w:rsidRDefault="00476A80" w:rsidP="00476A80">
      <w:pPr>
        <w:rPr>
          <w:lang w:val="nl-BE"/>
        </w:rPr>
      </w:pPr>
      <w:r w:rsidRPr="00476A80">
        <w:rPr>
          <w:lang w:val="nl-BE"/>
        </w:rPr>
        <w:t>Vanaf 1 januari 2019 zullen de Brusselse regionale maatschappijen van onderlinge bijstand en de HZIV die de opdrachten van het Brusselse openbaar fonds uitvoert de uitbetalingen aan de zorgverstrekkers voor hun rekening nemen.</w:t>
      </w:r>
    </w:p>
    <w:p w:rsidR="003F4B05" w:rsidRDefault="00476A80" w:rsidP="00476A80">
      <w:pPr>
        <w:rPr>
          <w:lang w:val="nl-BE"/>
        </w:rPr>
      </w:pPr>
      <w:r w:rsidRPr="00476A80">
        <w:rPr>
          <w:lang w:val="nl-BE"/>
        </w:rPr>
        <w:t>Merk op dat de HZIV de betalingen zal uitvoeren voor de Brusselaars die onder de HZIV vallen én voor de Brusselse leden van HR Rail.</w:t>
      </w:r>
    </w:p>
    <w:p w:rsidR="00476A80" w:rsidRPr="000714E5" w:rsidRDefault="00476A80" w:rsidP="003F4B05">
      <w:pPr>
        <w:rPr>
          <w:rStyle w:val="Intensievebenadrukking"/>
        </w:rPr>
      </w:pPr>
      <w:r w:rsidRPr="000714E5">
        <w:rPr>
          <w:rStyle w:val="Intensievebenadrukking"/>
        </w:rPr>
        <w:t>Bijzonder geval van de leden van HR Rail</w:t>
      </w:r>
    </w:p>
    <w:p w:rsidR="00476A80" w:rsidRPr="00476A80" w:rsidRDefault="00476A80" w:rsidP="00476A80">
      <w:pPr>
        <w:rPr>
          <w:lang w:val="nl-BE"/>
        </w:rPr>
      </w:pPr>
      <w:r w:rsidRPr="00476A80">
        <w:rPr>
          <w:lang w:val="nl-BE"/>
        </w:rPr>
        <w:t>HR Rail zal niet langer de facturen voor mobiliteitshulpmiddelen voor zijn leden betalen voor verstrekkingen die vanaf 1 januari 2019 worden geleverd.</w:t>
      </w:r>
    </w:p>
    <w:p w:rsidR="00476A80" w:rsidRPr="00476A80" w:rsidRDefault="00476A80" w:rsidP="00476A80">
      <w:pPr>
        <w:rPr>
          <w:lang w:val="nl-BE"/>
        </w:rPr>
      </w:pPr>
      <w:r w:rsidRPr="00476A80">
        <w:rPr>
          <w:lang w:val="nl-BE"/>
        </w:rPr>
        <w:t>De facturen voor de leden van HR Rail zullen naar de HZIV moeten worden gezonden.</w:t>
      </w:r>
    </w:p>
    <w:p w:rsidR="003F4B05" w:rsidRDefault="000714E5" w:rsidP="00476A80">
      <w:pPr>
        <w:rPr>
          <w:lang w:val="nl-BE"/>
        </w:rPr>
      </w:pPr>
      <w:r>
        <w:rPr>
          <w:lang w:val="nl-BE"/>
        </w:rPr>
        <w:br w:type="page"/>
      </w:r>
      <w:r w:rsidR="00476A80" w:rsidRPr="00476A80">
        <w:rPr>
          <w:lang w:val="nl-BE"/>
        </w:rPr>
        <w:t>De aanvragen om akkoord en de facturen ervan die vanaf 1 januari 2019 worden ontvangen, zullen naar de Brusselse regionale maatschappijen van onderlinge bijstand en de HZIV moeten worden gezonden, op de volgende adressen:</w:t>
      </w:r>
    </w:p>
    <w:p w:rsidR="000714E5" w:rsidRDefault="00476A80" w:rsidP="00476A80">
      <w:pPr>
        <w:pStyle w:val="Lijstalinea"/>
        <w:rPr>
          <w:lang w:val="nl-BE"/>
        </w:rPr>
      </w:pPr>
      <w:r w:rsidRPr="00476A80">
        <w:rPr>
          <w:lang w:val="nl-BE"/>
        </w:rPr>
        <w:t>Regionale maatschappij van onderlinge bijstand van de Christelijke Mutualiteiten voor het twe</w:t>
      </w:r>
      <w:r w:rsidR="000714E5">
        <w:rPr>
          <w:lang w:val="nl-BE"/>
        </w:rPr>
        <w:t>etalige gebied Brussel-Hoofdstad.</w:t>
      </w:r>
    </w:p>
    <w:p w:rsidR="000714E5" w:rsidRDefault="00476A80" w:rsidP="00476A80">
      <w:pPr>
        <w:pStyle w:val="Lijstalinea"/>
        <w:rPr>
          <w:lang w:val="nl-BE"/>
        </w:rPr>
      </w:pPr>
      <w:r w:rsidRPr="000714E5">
        <w:rPr>
          <w:lang w:val="nl-BE"/>
        </w:rPr>
        <w:t xml:space="preserve">Voor de leden aangesloten bij het ziekenfonds 109, 128, 129, 130, 132, 134, 135, 137: </w:t>
      </w:r>
      <w:r w:rsidR="000714E5">
        <w:rPr>
          <w:lang w:val="nl-BE"/>
        </w:rPr>
        <w:br/>
      </w:r>
      <w:r w:rsidRPr="000714E5">
        <w:rPr>
          <w:lang w:val="nl-BE"/>
        </w:rPr>
        <w:t>RMOB CM Brussel</w:t>
      </w:r>
      <w:r w:rsidR="000714E5">
        <w:rPr>
          <w:lang w:val="nl-BE"/>
        </w:rPr>
        <w:br/>
      </w:r>
      <w:r w:rsidRPr="000714E5">
        <w:rPr>
          <w:lang w:val="nl-BE"/>
        </w:rPr>
        <w:t xml:space="preserve">Service </w:t>
      </w:r>
      <w:proofErr w:type="spellStart"/>
      <w:r w:rsidRPr="000714E5">
        <w:rPr>
          <w:lang w:val="nl-BE"/>
        </w:rPr>
        <w:t>Soins</w:t>
      </w:r>
      <w:proofErr w:type="spellEnd"/>
      <w:r w:rsidRPr="000714E5">
        <w:rPr>
          <w:lang w:val="nl-BE"/>
        </w:rPr>
        <w:t xml:space="preserve"> de santé</w:t>
      </w:r>
      <w:r w:rsidR="000714E5">
        <w:rPr>
          <w:lang w:val="nl-BE"/>
        </w:rPr>
        <w:br/>
      </w:r>
      <w:proofErr w:type="spellStart"/>
      <w:r w:rsidRPr="000714E5">
        <w:rPr>
          <w:lang w:val="nl-BE"/>
        </w:rPr>
        <w:t>Place</w:t>
      </w:r>
      <w:proofErr w:type="spellEnd"/>
      <w:r w:rsidRPr="000714E5">
        <w:rPr>
          <w:lang w:val="nl-BE"/>
        </w:rPr>
        <w:t xml:space="preserve"> du </w:t>
      </w:r>
      <w:proofErr w:type="spellStart"/>
      <w:r w:rsidRPr="000714E5">
        <w:rPr>
          <w:lang w:val="nl-BE"/>
        </w:rPr>
        <w:t>Vingt</w:t>
      </w:r>
      <w:proofErr w:type="spellEnd"/>
      <w:r w:rsidRPr="000714E5">
        <w:rPr>
          <w:lang w:val="nl-BE"/>
        </w:rPr>
        <w:t xml:space="preserve"> </w:t>
      </w:r>
      <w:proofErr w:type="spellStart"/>
      <w:r w:rsidRPr="000714E5">
        <w:rPr>
          <w:lang w:val="nl-BE"/>
        </w:rPr>
        <w:t>Août</w:t>
      </w:r>
      <w:proofErr w:type="spellEnd"/>
      <w:r w:rsidRPr="000714E5">
        <w:rPr>
          <w:lang w:val="nl-BE"/>
        </w:rPr>
        <w:t xml:space="preserve"> 38, 4000 Liège</w:t>
      </w:r>
    </w:p>
    <w:p w:rsidR="00476A80" w:rsidRPr="000714E5" w:rsidRDefault="00476A80" w:rsidP="00476A80">
      <w:pPr>
        <w:pStyle w:val="Lijstalinea"/>
        <w:rPr>
          <w:lang w:val="nl-BE"/>
        </w:rPr>
      </w:pPr>
      <w:r w:rsidRPr="000714E5">
        <w:rPr>
          <w:lang w:val="nl-BE"/>
        </w:rPr>
        <w:t>Voor de leden aangesloten bij het ziekenfonds 101,105, 108, 110, 111, 112, 113, 120, 121, 126, 131:</w:t>
      </w:r>
      <w:r w:rsidR="000714E5">
        <w:rPr>
          <w:lang w:val="nl-BE"/>
        </w:rPr>
        <w:br/>
      </w:r>
      <w:r w:rsidRPr="000714E5">
        <w:rPr>
          <w:lang w:val="nl-BE"/>
        </w:rPr>
        <w:t>RMOB CM Brussel Dienst Gezondheidszorg</w:t>
      </w:r>
      <w:r w:rsidR="000714E5">
        <w:rPr>
          <w:lang w:val="nl-BE"/>
        </w:rPr>
        <w:br/>
      </w:r>
      <w:proofErr w:type="spellStart"/>
      <w:r w:rsidRPr="000714E5">
        <w:rPr>
          <w:lang w:val="nl-BE"/>
        </w:rPr>
        <w:t>Haachtsesteenweg</w:t>
      </w:r>
      <w:proofErr w:type="spellEnd"/>
      <w:r w:rsidRPr="000714E5">
        <w:rPr>
          <w:lang w:val="nl-BE"/>
        </w:rPr>
        <w:t xml:space="preserve"> 1805 - 1130 Brussel</w:t>
      </w:r>
    </w:p>
    <w:p w:rsidR="00AC6EF7" w:rsidRDefault="00476A80" w:rsidP="003F4B05">
      <w:pPr>
        <w:pStyle w:val="Lijstalinea"/>
        <w:rPr>
          <w:lang w:val="nl-BE"/>
        </w:rPr>
      </w:pPr>
      <w:r w:rsidRPr="00476A80">
        <w:rPr>
          <w:lang w:val="nl-BE"/>
        </w:rPr>
        <w:t>Brusselse regionale maatschappij van onderlinge bijstand van de Socialistische Mutualiteiten</w:t>
      </w:r>
      <w:r w:rsidR="000714E5">
        <w:rPr>
          <w:lang w:val="nl-BE"/>
        </w:rPr>
        <w:br/>
      </w:r>
      <w:r w:rsidRPr="000714E5">
        <w:rPr>
          <w:u w:val="single"/>
          <w:lang w:val="nl-BE"/>
        </w:rPr>
        <w:t>Voor de aanvragen om akkoord:</w:t>
      </w:r>
      <w:r w:rsidR="000714E5">
        <w:rPr>
          <w:lang w:val="nl-BE"/>
        </w:rPr>
        <w:br/>
      </w:r>
      <w:r w:rsidRPr="000714E5">
        <w:rPr>
          <w:lang w:val="nl-BE"/>
        </w:rPr>
        <w:t>Afdeling akkoord adviserend arts</w:t>
      </w:r>
      <w:r w:rsidR="000714E5">
        <w:rPr>
          <w:lang w:val="nl-BE"/>
        </w:rPr>
        <w:br/>
      </w:r>
      <w:r w:rsidRPr="000714E5">
        <w:rPr>
          <w:u w:val="single"/>
          <w:lang w:val="nl-BE"/>
        </w:rPr>
        <w:t>Voor de facturering:</w:t>
      </w:r>
      <w:r w:rsidRPr="000714E5">
        <w:rPr>
          <w:lang w:val="nl-BE"/>
        </w:rPr>
        <w:t xml:space="preserve"> </w:t>
      </w:r>
      <w:r w:rsidR="000714E5">
        <w:rPr>
          <w:lang w:val="nl-BE"/>
        </w:rPr>
        <w:br/>
      </w:r>
      <w:r w:rsidRPr="000714E5">
        <w:rPr>
          <w:lang w:val="nl-BE"/>
        </w:rPr>
        <w:t>Departement facturering Zuidstraat 111</w:t>
      </w:r>
      <w:r w:rsidR="000714E5">
        <w:rPr>
          <w:lang w:val="nl-BE"/>
        </w:rPr>
        <w:br/>
      </w:r>
      <w:r w:rsidRPr="000714E5">
        <w:rPr>
          <w:lang w:val="nl-BE"/>
        </w:rPr>
        <w:t>1000 Brussel</w:t>
      </w:r>
    </w:p>
    <w:p w:rsidR="00AC6EF7" w:rsidRDefault="00476A80" w:rsidP="00AC6EF7">
      <w:pPr>
        <w:pStyle w:val="Lijstalinea"/>
        <w:rPr>
          <w:lang w:val="nl-BE"/>
        </w:rPr>
      </w:pPr>
      <w:r w:rsidRPr="00AC6EF7">
        <w:t>Regionale</w:t>
      </w:r>
      <w:r w:rsidRPr="00AC6EF7">
        <w:rPr>
          <w:lang w:val="nl-BE"/>
        </w:rPr>
        <w:t xml:space="preserve"> maatschappij van onderlinge bijstand van de Landsbond van Liberale Mutualiteiten voor het Brussels Hoofdstedelijk Gewest</w:t>
      </w:r>
      <w:r w:rsidR="00AC6EF7">
        <w:rPr>
          <w:lang w:val="nl-BE"/>
        </w:rPr>
        <w:br/>
      </w:r>
      <w:r w:rsidR="005B1A23" w:rsidRPr="00AC6EF7">
        <w:rPr>
          <w:lang w:val="nl-BE"/>
        </w:rPr>
        <w:t>D</w:t>
      </w:r>
      <w:r w:rsidRPr="00AC6EF7">
        <w:rPr>
          <w:lang w:val="nl-BE"/>
        </w:rPr>
        <w:t xml:space="preserve">epartement facturering </w:t>
      </w:r>
      <w:r w:rsidR="00AC6EF7">
        <w:rPr>
          <w:lang w:val="nl-BE"/>
        </w:rPr>
        <w:br/>
      </w:r>
      <w:r w:rsidRPr="00AC6EF7">
        <w:rPr>
          <w:lang w:val="nl-BE"/>
        </w:rPr>
        <w:t>Koninginneplein 51-52</w:t>
      </w:r>
      <w:r w:rsidR="00AC6EF7">
        <w:rPr>
          <w:lang w:val="nl-BE"/>
        </w:rPr>
        <w:br/>
      </w:r>
      <w:r w:rsidRPr="00AC6EF7">
        <w:rPr>
          <w:lang w:val="nl-BE"/>
        </w:rPr>
        <w:t>1030 Brussel</w:t>
      </w:r>
    </w:p>
    <w:p w:rsidR="00AC6EF7" w:rsidRDefault="005B1A23" w:rsidP="00AC6EF7">
      <w:pPr>
        <w:pStyle w:val="Lijstalinea"/>
        <w:rPr>
          <w:lang w:val="nl-BE"/>
        </w:rPr>
      </w:pPr>
      <w:r w:rsidRPr="00AC6EF7">
        <w:t>Regionale maatschappij van onderlinge bijstand van de Onafhankelijke Ziekenfondsen voor het Brussels Hoofdstedelijk Gewest</w:t>
      </w:r>
      <w:r w:rsidR="00AC6EF7">
        <w:br/>
      </w:r>
      <w:r w:rsidRPr="00AC6EF7">
        <w:rPr>
          <w:u w:val="single"/>
          <w:lang w:val="nl-BE"/>
        </w:rPr>
        <w:t>Voor de aanvragen om akkoord:</w:t>
      </w:r>
      <w:r w:rsidRPr="00AC6EF7">
        <w:rPr>
          <w:lang w:val="nl-BE"/>
        </w:rPr>
        <w:t xml:space="preserve"> </w:t>
      </w:r>
      <w:r w:rsidR="00AC6EF7">
        <w:rPr>
          <w:lang w:val="nl-BE"/>
        </w:rPr>
        <w:br/>
      </w:r>
      <w:r w:rsidRPr="00AC6EF7">
        <w:rPr>
          <w:lang w:val="nl-BE"/>
        </w:rPr>
        <w:t>Medisch departement</w:t>
      </w:r>
      <w:r w:rsidR="00AC6EF7">
        <w:rPr>
          <w:lang w:val="nl-BE"/>
        </w:rPr>
        <w:br/>
      </w:r>
      <w:r w:rsidRPr="00AC6EF7">
        <w:rPr>
          <w:u w:val="single"/>
          <w:lang w:val="nl-BE"/>
        </w:rPr>
        <w:t>Voor de facturering:</w:t>
      </w:r>
      <w:r w:rsidRPr="00AC6EF7">
        <w:rPr>
          <w:lang w:val="nl-BE"/>
        </w:rPr>
        <w:t xml:space="preserve"> </w:t>
      </w:r>
      <w:r w:rsidR="00AC6EF7">
        <w:rPr>
          <w:lang w:val="nl-BE"/>
        </w:rPr>
        <w:br/>
      </w:r>
      <w:r w:rsidRPr="00AC6EF7">
        <w:rPr>
          <w:lang w:val="nl-BE"/>
        </w:rPr>
        <w:t xml:space="preserve">Departement facturering </w:t>
      </w:r>
      <w:proofErr w:type="spellStart"/>
      <w:r w:rsidRPr="00AC6EF7">
        <w:rPr>
          <w:lang w:val="nl-BE"/>
        </w:rPr>
        <w:t>Lenniksebaan</w:t>
      </w:r>
      <w:proofErr w:type="spellEnd"/>
      <w:r w:rsidRPr="00AC6EF7">
        <w:rPr>
          <w:lang w:val="nl-BE"/>
        </w:rPr>
        <w:t xml:space="preserve"> 788 A</w:t>
      </w:r>
      <w:r w:rsidR="00AC6EF7">
        <w:rPr>
          <w:lang w:val="nl-BE"/>
        </w:rPr>
        <w:br/>
      </w:r>
      <w:r w:rsidRPr="00AC6EF7">
        <w:rPr>
          <w:lang w:val="nl-BE"/>
        </w:rPr>
        <w:t>1070 Brussel</w:t>
      </w:r>
    </w:p>
    <w:p w:rsidR="003F4B05" w:rsidRPr="00AC6EF7" w:rsidRDefault="005B1A23" w:rsidP="005B1A23">
      <w:pPr>
        <w:pStyle w:val="Lijstalinea"/>
        <w:spacing w:after="0"/>
        <w:rPr>
          <w:lang w:val="nl-BE"/>
        </w:rPr>
      </w:pPr>
      <w:r w:rsidRPr="00AC6EF7">
        <w:rPr>
          <w:lang w:val="nl-BE"/>
        </w:rPr>
        <w:t>Regionale maatschappij van onderlinge bijstand van de Landsbond van Neutrale</w:t>
      </w:r>
      <w:r w:rsidR="00AC6EF7" w:rsidRPr="00AC6EF7">
        <w:rPr>
          <w:lang w:val="nl-BE"/>
        </w:rPr>
        <w:br/>
      </w:r>
      <w:r w:rsidRPr="00AC6EF7">
        <w:rPr>
          <w:u w:val="single"/>
          <w:lang w:val="nl-BE"/>
        </w:rPr>
        <w:t>Voor de aanvragen om akkoord:</w:t>
      </w:r>
      <w:r w:rsidR="00AC6EF7" w:rsidRPr="00AC6EF7">
        <w:rPr>
          <w:u w:val="single"/>
          <w:lang w:val="nl-BE"/>
        </w:rPr>
        <w:br/>
      </w:r>
      <w:r w:rsidRPr="00AC6EF7">
        <w:rPr>
          <w:lang w:val="nl-BE"/>
        </w:rPr>
        <w:t xml:space="preserve">T.a.v. de Medische Dienst </w:t>
      </w:r>
      <w:r w:rsidR="00AC6EF7" w:rsidRPr="00AC6EF7">
        <w:rPr>
          <w:lang w:val="nl-BE"/>
        </w:rPr>
        <w:br/>
      </w:r>
      <w:proofErr w:type="spellStart"/>
      <w:r w:rsidR="00AC6EF7" w:rsidRPr="00AC6EF7">
        <w:rPr>
          <w:lang w:val="nl-BE"/>
        </w:rPr>
        <w:t>Charleroisesteenweg</w:t>
      </w:r>
      <w:proofErr w:type="spellEnd"/>
      <w:r w:rsidR="00AC6EF7" w:rsidRPr="00AC6EF7">
        <w:rPr>
          <w:lang w:val="nl-BE"/>
        </w:rPr>
        <w:t>, 145</w:t>
      </w:r>
      <w:r w:rsidR="00AC6EF7" w:rsidRPr="00AC6EF7">
        <w:rPr>
          <w:lang w:val="nl-BE"/>
        </w:rPr>
        <w:br/>
      </w:r>
      <w:r w:rsidRPr="00AC6EF7">
        <w:rPr>
          <w:lang w:val="nl-BE"/>
        </w:rPr>
        <w:t>1060 Brussel</w:t>
      </w:r>
      <w:r w:rsidR="00AC6EF7" w:rsidRPr="00AC6EF7">
        <w:rPr>
          <w:lang w:val="nl-BE"/>
        </w:rPr>
        <w:br/>
      </w:r>
      <w:r w:rsidRPr="00AC6EF7">
        <w:rPr>
          <w:lang w:val="nl-BE"/>
        </w:rPr>
        <w:t xml:space="preserve">Contactpersoon: Geert </w:t>
      </w:r>
      <w:proofErr w:type="spellStart"/>
      <w:r w:rsidRPr="00AC6EF7">
        <w:rPr>
          <w:lang w:val="nl-BE"/>
        </w:rPr>
        <w:t>Watteyn</w:t>
      </w:r>
      <w:proofErr w:type="spellEnd"/>
      <w:r w:rsidR="00AC6EF7" w:rsidRPr="00AC6EF7">
        <w:rPr>
          <w:lang w:val="nl-BE"/>
        </w:rPr>
        <w:br/>
      </w:r>
      <w:r w:rsidRPr="00AC6EF7">
        <w:rPr>
          <w:lang w:val="nl-BE"/>
        </w:rPr>
        <w:t>02/535.73.65 en 02/535.73.44</w:t>
      </w:r>
      <w:r w:rsidR="00AC6EF7" w:rsidRPr="00AC6EF7">
        <w:rPr>
          <w:lang w:val="nl-BE"/>
        </w:rPr>
        <w:br/>
      </w:r>
      <w:r w:rsidRPr="00AC6EF7">
        <w:rPr>
          <w:lang w:val="nl-BE"/>
        </w:rPr>
        <w:t xml:space="preserve">Email : </w:t>
      </w:r>
      <w:hyperlink r:id="rId14" w:history="1">
        <w:r w:rsidR="00AC6EF7" w:rsidRPr="00AC6EF7">
          <w:rPr>
            <w:rStyle w:val="Hyperlink"/>
            <w:lang w:val="nl-BE"/>
          </w:rPr>
          <w:t>DL200_Medical-Medisch@UNION-NEUTRE.BE</w:t>
        </w:r>
      </w:hyperlink>
      <w:r w:rsidR="00AC6EF7" w:rsidRPr="00AC6EF7">
        <w:rPr>
          <w:lang w:val="nl-BE"/>
        </w:rPr>
        <w:br/>
      </w:r>
      <w:r w:rsidRPr="00AC6EF7">
        <w:rPr>
          <w:u w:val="single"/>
          <w:lang w:val="nl-BE"/>
        </w:rPr>
        <w:t>Voor de facturering:</w:t>
      </w:r>
      <w:r w:rsidR="00AC6EF7">
        <w:rPr>
          <w:u w:val="single"/>
          <w:lang w:val="nl-BE"/>
        </w:rPr>
        <w:br/>
      </w:r>
      <w:r w:rsidRPr="00AC6EF7">
        <w:rPr>
          <w:lang w:val="nl-BE"/>
        </w:rPr>
        <w:t xml:space="preserve">T.a.v. de Dienst Gezondheidszorg </w:t>
      </w:r>
      <w:r w:rsidR="00AC6EF7">
        <w:rPr>
          <w:lang w:val="nl-BE"/>
        </w:rPr>
        <w:br/>
      </w:r>
      <w:proofErr w:type="spellStart"/>
      <w:r w:rsidRPr="00AC6EF7">
        <w:rPr>
          <w:lang w:val="nl-BE"/>
        </w:rPr>
        <w:t>Charleroisesteenweg</w:t>
      </w:r>
      <w:proofErr w:type="spellEnd"/>
      <w:r w:rsidRPr="00AC6EF7">
        <w:rPr>
          <w:lang w:val="nl-BE"/>
        </w:rPr>
        <w:t xml:space="preserve"> 147</w:t>
      </w:r>
      <w:r w:rsidR="00AC6EF7">
        <w:rPr>
          <w:lang w:val="nl-BE"/>
        </w:rPr>
        <w:br/>
      </w:r>
      <w:r w:rsidRPr="00AC6EF7">
        <w:rPr>
          <w:lang w:val="nl-BE"/>
        </w:rPr>
        <w:t xml:space="preserve">1060 Brussel </w:t>
      </w:r>
      <w:r w:rsidR="00AC6EF7">
        <w:rPr>
          <w:lang w:val="nl-BE"/>
        </w:rPr>
        <w:br/>
      </w:r>
      <w:r w:rsidRPr="00AC6EF7">
        <w:rPr>
          <w:lang w:val="nl-BE"/>
        </w:rPr>
        <w:t xml:space="preserve">Contactpersonen: </w:t>
      </w:r>
      <w:r w:rsidR="00AC6EF7">
        <w:rPr>
          <w:lang w:val="nl-BE"/>
        </w:rPr>
        <w:br/>
      </w:r>
      <w:proofErr w:type="spellStart"/>
      <w:r w:rsidRPr="00AC6EF7">
        <w:rPr>
          <w:lang w:val="nl-BE"/>
        </w:rPr>
        <w:t>Hakem</w:t>
      </w:r>
      <w:proofErr w:type="spellEnd"/>
      <w:r w:rsidRPr="00AC6EF7">
        <w:rPr>
          <w:lang w:val="nl-BE"/>
        </w:rPr>
        <w:t xml:space="preserve"> Ali02/535.73.58</w:t>
      </w:r>
      <w:r w:rsidR="00AC6EF7">
        <w:rPr>
          <w:lang w:val="nl-BE"/>
        </w:rPr>
        <w:br/>
      </w:r>
      <w:proofErr w:type="spellStart"/>
      <w:r w:rsidRPr="00AC6EF7">
        <w:rPr>
          <w:lang w:val="nl-BE"/>
        </w:rPr>
        <w:t>Hurtado</w:t>
      </w:r>
      <w:proofErr w:type="spellEnd"/>
      <w:r w:rsidRPr="00AC6EF7">
        <w:rPr>
          <w:lang w:val="nl-BE"/>
        </w:rPr>
        <w:t xml:space="preserve"> Karina : 02/300.11.03 Email : bru200SDS@unmn.be</w:t>
      </w:r>
    </w:p>
    <w:p w:rsidR="008A6F96" w:rsidRPr="00AC6EF7" w:rsidRDefault="005B1A23" w:rsidP="00AC6EF7">
      <w:pPr>
        <w:pStyle w:val="Lijstalinea"/>
        <w:rPr>
          <w:lang w:val="nl-BE"/>
        </w:rPr>
      </w:pPr>
      <w:r w:rsidRPr="005B1A23">
        <w:rPr>
          <w:lang w:val="nl-BE"/>
        </w:rPr>
        <w:t xml:space="preserve">De </w:t>
      </w:r>
      <w:proofErr w:type="spellStart"/>
      <w:r w:rsidRPr="005B1A23">
        <w:rPr>
          <w:lang w:val="nl-BE"/>
        </w:rPr>
        <w:t>Hulpkas</w:t>
      </w:r>
      <w:proofErr w:type="spellEnd"/>
      <w:r w:rsidRPr="005B1A23">
        <w:rPr>
          <w:lang w:val="nl-BE"/>
        </w:rPr>
        <w:t xml:space="preserve"> voor Ziekte- en Invaliditeitsverzekering</w:t>
      </w:r>
      <w:r w:rsidR="00AC6EF7">
        <w:rPr>
          <w:lang w:val="nl-BE"/>
        </w:rPr>
        <w:br/>
      </w:r>
      <w:r w:rsidRPr="00AC6EF7">
        <w:rPr>
          <w:lang w:val="nl-BE"/>
        </w:rPr>
        <w:t>Troonstraat 30 A</w:t>
      </w:r>
      <w:r w:rsidR="00AC6EF7">
        <w:rPr>
          <w:lang w:val="nl-BE"/>
        </w:rPr>
        <w:br/>
      </w:r>
      <w:r w:rsidRPr="00AC6EF7">
        <w:rPr>
          <w:lang w:val="nl-BE"/>
        </w:rPr>
        <w:t>1000 Brussel</w:t>
      </w:r>
      <w:r w:rsidR="00AC6EF7">
        <w:rPr>
          <w:lang w:val="nl-BE"/>
        </w:rPr>
        <w:br/>
      </w:r>
      <w:r w:rsidR="003F4B05" w:rsidRPr="00AC6EF7">
        <w:rPr>
          <w:lang w:val="nl-BE"/>
        </w:rPr>
        <w:t>HR Rail :</w:t>
      </w:r>
      <w:r w:rsidR="00AC6EF7">
        <w:rPr>
          <w:lang w:val="nl-BE"/>
        </w:rPr>
        <w:br/>
      </w:r>
      <w:r w:rsidRPr="00AC6EF7">
        <w:rPr>
          <w:lang w:val="nl-BE"/>
        </w:rPr>
        <w:t xml:space="preserve">Facturen moeten verstuurd worden naar de HZIV </w:t>
      </w:r>
      <w:r w:rsidR="00AC6EF7">
        <w:rPr>
          <w:lang w:val="nl-BE"/>
        </w:rPr>
        <w:br/>
      </w:r>
      <w:r w:rsidRPr="00AC6EF7">
        <w:rPr>
          <w:lang w:val="nl-BE"/>
        </w:rPr>
        <w:t>Troonstraat 30 A</w:t>
      </w:r>
      <w:r w:rsidR="00AC6EF7">
        <w:rPr>
          <w:lang w:val="nl-BE"/>
        </w:rPr>
        <w:br/>
      </w:r>
      <w:r w:rsidRPr="00AC6EF7">
        <w:rPr>
          <w:lang w:val="nl-BE"/>
        </w:rPr>
        <w:t>1000 Brussel</w:t>
      </w:r>
    </w:p>
    <w:p w:rsidR="008A6F96" w:rsidRPr="005B1A23" w:rsidRDefault="008A6F96" w:rsidP="008A6F96">
      <w:pPr>
        <w:pStyle w:val="Kop2"/>
        <w:rPr>
          <w:lang w:val="nl-BE"/>
        </w:rPr>
      </w:pPr>
      <w:r w:rsidRPr="005B1A23">
        <w:rPr>
          <w:lang w:val="nl-BE"/>
        </w:rPr>
        <w:t xml:space="preserve">7. </w:t>
      </w:r>
      <w:r w:rsidR="005B1A23" w:rsidRPr="005B1A23">
        <w:rPr>
          <w:lang w:val="nl-BE"/>
        </w:rPr>
        <w:t>Facturering</w:t>
      </w:r>
    </w:p>
    <w:p w:rsidR="005B1A23" w:rsidRPr="005B1A23" w:rsidRDefault="005B1A23" w:rsidP="00AC6EF7">
      <w:pPr>
        <w:rPr>
          <w:lang w:val="nl-BE"/>
        </w:rPr>
      </w:pPr>
      <w:r w:rsidRPr="005B1A23">
        <w:rPr>
          <w:lang w:val="nl-BE"/>
        </w:rPr>
        <w:t>Principe: de facturen moeten worden opgesplitst naargelang de regionale maatschappij van onderlinge bijstand of de verzekeringsinstelling (voor de verstrekkingen vóór 1 januari 2019, zie de details hieronder).</w:t>
      </w:r>
    </w:p>
    <w:p w:rsidR="005B1A23" w:rsidRPr="005B1A23" w:rsidRDefault="005B1A23" w:rsidP="00AC6EF7">
      <w:pPr>
        <w:rPr>
          <w:lang w:val="nl-BE"/>
        </w:rPr>
      </w:pPr>
      <w:r w:rsidRPr="005B1A23">
        <w:rPr>
          <w:lang w:val="nl-BE"/>
        </w:rPr>
        <w:t>Onverminderd punt 12 van deze omzendbrief mogen in geval van verhuizing van het Brussels Hoofdstedelijk Gewest naar het Waals of het Vlaams Gewest de facturen voor de Brusselse verzekeringsinstellingen enkel personen gedomicilieerd in het Brussels Hoofdstedelijk Gewest aangaan.</w:t>
      </w:r>
    </w:p>
    <w:p w:rsidR="008A6F96" w:rsidRPr="005B1A23" w:rsidRDefault="005B1A23" w:rsidP="00AC6EF7">
      <w:pPr>
        <w:rPr>
          <w:lang w:val="nl-BE"/>
        </w:rPr>
      </w:pPr>
      <w:r w:rsidRPr="005B1A23">
        <w:rPr>
          <w:lang w:val="nl-BE"/>
        </w:rPr>
        <w:t>De oude papieren factuurmodellen van het RIZIV blijven geldig voor Iriscare tot ze door een Iriscare- model worden vervangen.</w:t>
      </w:r>
    </w:p>
    <w:p w:rsidR="008A6F96" w:rsidRPr="005B1A23" w:rsidRDefault="008A6F96" w:rsidP="008A6F96">
      <w:pPr>
        <w:pStyle w:val="Kop3"/>
        <w:rPr>
          <w:lang w:val="nl-BE"/>
        </w:rPr>
      </w:pPr>
      <w:r w:rsidRPr="005B1A23">
        <w:rPr>
          <w:lang w:val="nl-BE"/>
        </w:rPr>
        <w:t xml:space="preserve">7.1. </w:t>
      </w:r>
      <w:r w:rsidR="005B1A23" w:rsidRPr="005B1A23">
        <w:rPr>
          <w:lang w:val="nl-BE"/>
        </w:rPr>
        <w:t>Facturering van de looprekken</w:t>
      </w:r>
    </w:p>
    <w:p w:rsidR="005B1A23" w:rsidRPr="005B1A23" w:rsidRDefault="005B1A23" w:rsidP="005B1A23">
      <w:pPr>
        <w:rPr>
          <w:lang w:val="nl-BE"/>
        </w:rPr>
      </w:pPr>
      <w:r w:rsidRPr="005B1A23">
        <w:rPr>
          <w:lang w:val="nl-BE"/>
        </w:rPr>
        <w:t>De facturen voor looprekken geleverd vanaf 1 januari 2019 worden naar de Brusselse maatschappijen van onderlinge bijstand en de HZIV gezonden.</w:t>
      </w:r>
    </w:p>
    <w:p w:rsidR="008A6F96" w:rsidRPr="005B1A23" w:rsidRDefault="005B1A23" w:rsidP="005B1A23">
      <w:pPr>
        <w:rPr>
          <w:lang w:val="nl-BE"/>
        </w:rPr>
      </w:pPr>
      <w:r w:rsidRPr="005B1A23">
        <w:rPr>
          <w:lang w:val="nl-BE"/>
        </w:rPr>
        <w:t>De facturen voor looprekken geleverd vóór 1 januari 2019 moeten naar de VI worden gezonden op basis van de RIZIV-regels.</w:t>
      </w:r>
    </w:p>
    <w:p w:rsidR="008A6F96" w:rsidRPr="005B1A23" w:rsidRDefault="008A6F96" w:rsidP="008A6F96">
      <w:pPr>
        <w:pStyle w:val="Kop3"/>
        <w:rPr>
          <w:lang w:val="nl-BE"/>
        </w:rPr>
      </w:pPr>
      <w:r w:rsidRPr="005B1A23">
        <w:rPr>
          <w:lang w:val="nl-BE"/>
        </w:rPr>
        <w:t xml:space="preserve">7.2. </w:t>
      </w:r>
      <w:r w:rsidR="005B1A23" w:rsidRPr="005B1A23">
        <w:rPr>
          <w:lang w:val="nl-BE"/>
        </w:rPr>
        <w:t>Renting: Verhuur van standaard manuele rolstoel, modulaire manuele rolstoel of manuele verzorgingsrolstoel</w:t>
      </w:r>
    </w:p>
    <w:p w:rsidR="005B1A23" w:rsidRPr="005B1A23" w:rsidRDefault="005B1A23" w:rsidP="005B1A23">
      <w:pPr>
        <w:rPr>
          <w:lang w:val="nl-BE"/>
        </w:rPr>
      </w:pPr>
      <w:r w:rsidRPr="005B1A23">
        <w:rPr>
          <w:lang w:val="nl-BE"/>
        </w:rPr>
        <w:t>Lopende huurovereenkomsten op 31 december 2018 betreffende mobiliteitshulpmiddelen in rusthuizen en in rust- en verzorgingstehuizen voor bewoners die in het Brussels Hoofdstedelijk Gewest wonen, vallen vanaf 1 januari 2019 ten laste van Iriscare. De facturen worden naar de Brusselse maatschappijen van onderlinge bijstand en naar de HVIZ gezonden.</w:t>
      </w:r>
    </w:p>
    <w:p w:rsidR="005B1A23" w:rsidRPr="005B1A23" w:rsidRDefault="005B1A23" w:rsidP="005B1A23">
      <w:pPr>
        <w:rPr>
          <w:lang w:val="nl-BE"/>
        </w:rPr>
      </w:pPr>
      <w:r w:rsidRPr="005B1A23">
        <w:rPr>
          <w:lang w:val="nl-BE"/>
        </w:rPr>
        <w:t>Facturen in verband met verhuur vóór een periode voor 1 januari 2019 worden naar de VI gezonden.</w:t>
      </w:r>
    </w:p>
    <w:p w:rsidR="005B1A23" w:rsidRPr="005B1A23" w:rsidRDefault="005B1A23" w:rsidP="005B1A23">
      <w:pPr>
        <w:rPr>
          <w:lang w:val="nl-BE"/>
        </w:rPr>
      </w:pPr>
      <w:r w:rsidRPr="005B1A23">
        <w:rPr>
          <w:lang w:val="nl-BE"/>
        </w:rPr>
        <w:t>Voor huurovereenkomsten begonnen in 2018 en waarbij mobiliteitshulpmiddelen tussen 16 en 31 december 2018 werden afgeleverd, worden de facturen naar de Brusselse maatschappij van onderlinge bijstand gezonden.</w:t>
      </w:r>
    </w:p>
    <w:p w:rsidR="005B1A23" w:rsidRPr="005B1A23" w:rsidRDefault="005B1A23" w:rsidP="005B1A23">
      <w:pPr>
        <w:rPr>
          <w:lang w:val="nl-BE"/>
        </w:rPr>
      </w:pPr>
      <w:r w:rsidRPr="005B1A23">
        <w:rPr>
          <w:lang w:val="nl-BE"/>
        </w:rPr>
        <w:t xml:space="preserve">De databank DB Renting en ook de daarmee gepaard gaande financiële tegemoetkoming (prime software </w:t>
      </w:r>
      <w:proofErr w:type="spellStart"/>
      <w:r w:rsidRPr="005B1A23">
        <w:rPr>
          <w:lang w:val="nl-BE"/>
        </w:rPr>
        <w:t>renting</w:t>
      </w:r>
      <w:proofErr w:type="spellEnd"/>
      <w:r w:rsidRPr="005B1A23">
        <w:rPr>
          <w:lang w:val="nl-BE"/>
        </w:rPr>
        <w:t>) worden op 1 januari 2019 opgeheven.</w:t>
      </w:r>
    </w:p>
    <w:p w:rsidR="008A6F96" w:rsidRPr="005B1A23" w:rsidRDefault="005B1A23" w:rsidP="005B1A23">
      <w:pPr>
        <w:rPr>
          <w:lang w:val="nl-BE"/>
        </w:rPr>
      </w:pPr>
      <w:r w:rsidRPr="005B1A23">
        <w:rPr>
          <w:lang w:val="nl-BE"/>
        </w:rPr>
        <w:t>Wat de vóór 1 januari 2019 lopende verhuren en hernieuwingsaanvragen voor mobiliteitshulpmiddelen betreft, bezorgt HR Rail, overeenkomstig het protocolakkoord, het HZIV alle nodige inlichtingen om de continuïteit van de uitbetalingen en het goede beheer van de dossiers te garanderen.</w:t>
      </w:r>
    </w:p>
    <w:p w:rsidR="008A6F96" w:rsidRPr="005B1A23" w:rsidRDefault="008A6F96" w:rsidP="008A6F96">
      <w:pPr>
        <w:pStyle w:val="Kop3"/>
        <w:rPr>
          <w:lang w:val="nl-BE"/>
        </w:rPr>
      </w:pPr>
      <w:r w:rsidRPr="005B1A23">
        <w:rPr>
          <w:lang w:val="nl-BE"/>
        </w:rPr>
        <w:t xml:space="preserve">7.3. </w:t>
      </w:r>
      <w:r w:rsidR="005B1A23" w:rsidRPr="005B1A23">
        <w:rPr>
          <w:lang w:val="nl-BE"/>
        </w:rPr>
        <w:t>Facturering van de andere mobiliteitshulpmiddelen</w:t>
      </w:r>
    </w:p>
    <w:p w:rsidR="005B1A23" w:rsidRPr="005B1A23" w:rsidRDefault="005B1A23" w:rsidP="005B1A23">
      <w:pPr>
        <w:rPr>
          <w:lang w:val="nl-BE"/>
        </w:rPr>
      </w:pPr>
      <w:r w:rsidRPr="005B1A23">
        <w:rPr>
          <w:lang w:val="nl-BE"/>
        </w:rPr>
        <w:t>De andere mobiliteitshulpmiddelen waarvoor het akkoord van de adviserend arts na 31 december 2018 werd aangevraagd, worden aan de Brusselse maatschappijen van onderlinge bijstand en aan de HZIV gefactureerd.</w:t>
      </w:r>
    </w:p>
    <w:p w:rsidR="005B1A23" w:rsidRPr="005B1A23" w:rsidRDefault="005B1A23" w:rsidP="005B1A23">
      <w:pPr>
        <w:rPr>
          <w:lang w:val="nl-BE"/>
        </w:rPr>
      </w:pPr>
      <w:r w:rsidRPr="005B1A23">
        <w:rPr>
          <w:lang w:val="nl-BE"/>
        </w:rPr>
        <w:t>De andere mobiliteitshulpmiddelen waarvoor het akkoord van de adviserend arts vóór 1 januari 2019 werd aangevraagd, worden aan de VI gefactureerd.</w:t>
      </w:r>
    </w:p>
    <w:p w:rsidR="008A6F96" w:rsidRPr="005B1A23" w:rsidRDefault="005B1A23" w:rsidP="005B1A23">
      <w:pPr>
        <w:rPr>
          <w:lang w:val="nl-BE"/>
        </w:rPr>
      </w:pPr>
      <w:r w:rsidRPr="005B1A23">
        <w:rPr>
          <w:lang w:val="nl-BE"/>
        </w:rPr>
        <w:t>De datum van de aanvraag van het akkoord van de adviserend arts die in aanmerking komt, is de datum waarop de post is afgestempeld (poststempel geldt als bewijs). Als de datum onleesbaar is of ontbreekt, geldt de datum waarop de VI de post ontvangt / de MOB die in aanmerking komt.</w:t>
      </w:r>
    </w:p>
    <w:p w:rsidR="008A6F96" w:rsidRPr="005B1A23" w:rsidRDefault="008A6F96" w:rsidP="008A6F96">
      <w:pPr>
        <w:pStyle w:val="Kop2"/>
        <w:rPr>
          <w:lang w:val="nl-BE"/>
        </w:rPr>
      </w:pPr>
      <w:r w:rsidRPr="005B1A23">
        <w:rPr>
          <w:lang w:val="nl-BE"/>
        </w:rPr>
        <w:t xml:space="preserve">8. </w:t>
      </w:r>
      <w:r w:rsidR="005B1A23" w:rsidRPr="005B1A23">
        <w:rPr>
          <w:lang w:val="nl-BE"/>
        </w:rPr>
        <w:t>Erkenning van de orthopedisch technologen in de mobiliteitshulpmiddelen</w:t>
      </w:r>
    </w:p>
    <w:p w:rsidR="005B1A23" w:rsidRPr="005B1A23" w:rsidRDefault="005B1A23" w:rsidP="005B1A23">
      <w:pPr>
        <w:rPr>
          <w:lang w:val="nl-BE"/>
        </w:rPr>
      </w:pPr>
      <w:r w:rsidRPr="005B1A23">
        <w:rPr>
          <w:lang w:val="nl-BE"/>
        </w:rPr>
        <w:t>De door het RIZIV op 31 december 2018 erkende orthopedisch technologen in de mobiliteitshulpmiddelen zijn ambtshalve door Iriscare erkend.</w:t>
      </w:r>
    </w:p>
    <w:p w:rsidR="005B1A23" w:rsidRPr="005B1A23" w:rsidRDefault="005B1A23" w:rsidP="005B1A23">
      <w:pPr>
        <w:rPr>
          <w:lang w:val="nl-BE"/>
        </w:rPr>
      </w:pPr>
      <w:r w:rsidRPr="005B1A23">
        <w:rPr>
          <w:lang w:val="nl-BE"/>
        </w:rPr>
        <w:t>Het RIZIV zal de orthopedisch technologen in de mobiliteitshulpmiddelen blijven erkennen zolang de nieuwe federale erkenningscriteria voor de orthopedisch technologen in mobiliteitshulpmiddelen niet in werking zijn getreden en zolang de deelentiteiten zelf instaan voor de erkenning van de orthopedisch technologen in de mobiliteitshulpmiddelen volgens die criteria.</w:t>
      </w:r>
    </w:p>
    <w:p w:rsidR="005B1A23" w:rsidRPr="005B1A23" w:rsidRDefault="005B1A23" w:rsidP="005B1A23">
      <w:pPr>
        <w:rPr>
          <w:lang w:val="nl-BE"/>
        </w:rPr>
      </w:pPr>
      <w:r w:rsidRPr="005B1A23">
        <w:rPr>
          <w:lang w:val="nl-BE"/>
        </w:rPr>
        <w:t>In afwachting daarvan kent de Erkenningsraad van het RIZIV de orthopedisch technologen een RIZIV- nummer toe.</w:t>
      </w:r>
    </w:p>
    <w:p w:rsidR="008A6F96" w:rsidRPr="005B1A23" w:rsidRDefault="005B1A23" w:rsidP="005B1A23">
      <w:pPr>
        <w:rPr>
          <w:lang w:val="nl-BE"/>
        </w:rPr>
      </w:pPr>
      <w:r w:rsidRPr="005B1A23">
        <w:rPr>
          <w:lang w:val="nl-BE"/>
        </w:rPr>
        <w:t>De RIZIV-erkenningsnummers blijven bestaan.</w:t>
      </w:r>
    </w:p>
    <w:p w:rsidR="008A6F96" w:rsidRPr="005B1A23" w:rsidRDefault="008A6F96" w:rsidP="008A6F96">
      <w:pPr>
        <w:pStyle w:val="Kop2"/>
        <w:rPr>
          <w:lang w:val="nl-BE"/>
        </w:rPr>
      </w:pPr>
      <w:r w:rsidRPr="005B1A23">
        <w:rPr>
          <w:lang w:val="nl-BE"/>
        </w:rPr>
        <w:t xml:space="preserve">9. </w:t>
      </w:r>
      <w:r w:rsidR="005B1A23" w:rsidRPr="005B1A23">
        <w:rPr>
          <w:lang w:val="nl-BE"/>
        </w:rPr>
        <w:t>Conventionering van de orthopedisch technologen in de mobiliteitshulpmiddelen</w:t>
      </w:r>
    </w:p>
    <w:p w:rsidR="005B1A23" w:rsidRPr="005B1A23" w:rsidRDefault="005B1A23" w:rsidP="005B1A23">
      <w:pPr>
        <w:rPr>
          <w:lang w:val="nl-BE"/>
        </w:rPr>
      </w:pPr>
      <w:r w:rsidRPr="005B1A23">
        <w:rPr>
          <w:lang w:val="nl-BE"/>
        </w:rPr>
        <w:t>Tussen de orthopedisch technologen in de mobiliteitshulpmiddelen en de Brusselse verzekeringsinstellingen werd een nieuwe overeenkomst afgesloten.</w:t>
      </w:r>
    </w:p>
    <w:p w:rsidR="005B1A23" w:rsidRPr="005B1A23" w:rsidRDefault="005B1A23" w:rsidP="005B1A23">
      <w:pPr>
        <w:rPr>
          <w:lang w:val="nl-BE"/>
        </w:rPr>
      </w:pPr>
      <w:r w:rsidRPr="005B1A23">
        <w:rPr>
          <w:lang w:val="nl-BE"/>
        </w:rPr>
        <w:t>Je vindt ze terug op de website van Iriscare.</w:t>
      </w:r>
    </w:p>
    <w:p w:rsidR="005B1A23" w:rsidRPr="005B1A23" w:rsidRDefault="005B1A23" w:rsidP="005B1A23">
      <w:pPr>
        <w:rPr>
          <w:lang w:val="nl-BE"/>
        </w:rPr>
      </w:pPr>
      <w:r w:rsidRPr="005B1A23">
        <w:rPr>
          <w:lang w:val="nl-BE"/>
        </w:rPr>
        <w:t xml:space="preserve">De op 31 december 2018 </w:t>
      </w:r>
      <w:proofErr w:type="spellStart"/>
      <w:r w:rsidRPr="005B1A23">
        <w:rPr>
          <w:lang w:val="nl-BE"/>
        </w:rPr>
        <w:t>geconventioneerde</w:t>
      </w:r>
      <w:proofErr w:type="spellEnd"/>
      <w:r w:rsidRPr="005B1A23">
        <w:rPr>
          <w:lang w:val="nl-BE"/>
        </w:rPr>
        <w:t xml:space="preserve"> bandagisten worden geacht hun </w:t>
      </w:r>
      <w:proofErr w:type="spellStart"/>
      <w:r w:rsidRPr="005B1A23">
        <w:rPr>
          <w:lang w:val="nl-BE"/>
        </w:rPr>
        <w:t>conventionering</w:t>
      </w:r>
      <w:proofErr w:type="spellEnd"/>
      <w:r w:rsidRPr="005B1A23">
        <w:rPr>
          <w:lang w:val="nl-BE"/>
        </w:rPr>
        <w:t xml:space="preserve"> in het kader van hun verstrekkingen voor Iriscare voort te zetten, tenzij ze een formulier van niet- aansluiting terugzenden.</w:t>
      </w:r>
    </w:p>
    <w:p w:rsidR="008A6F96" w:rsidRPr="005B1A23" w:rsidRDefault="005B1A23" w:rsidP="005B1A23">
      <w:pPr>
        <w:rPr>
          <w:lang w:val="nl-BE"/>
        </w:rPr>
      </w:pPr>
      <w:r w:rsidRPr="005B1A23">
        <w:rPr>
          <w:lang w:val="nl-BE"/>
        </w:rPr>
        <w:t xml:space="preserve"> Iriscare zal de bandagisten een nieuwe overeenkomst zenden, die over een termijn zullen beschikken om aan te geven dat ze niet tot de overeenkomst toetreden</w:t>
      </w:r>
      <w:r w:rsidR="008A6F96" w:rsidRPr="005B1A23">
        <w:rPr>
          <w:lang w:val="nl-BE"/>
        </w:rPr>
        <w:t>.</w:t>
      </w:r>
    </w:p>
    <w:p w:rsidR="008A6F96" w:rsidRPr="005B1A23" w:rsidRDefault="008A6F96" w:rsidP="008A6F96">
      <w:pPr>
        <w:pStyle w:val="Kop2"/>
        <w:rPr>
          <w:lang w:val="nl-BE"/>
        </w:rPr>
      </w:pPr>
      <w:r w:rsidRPr="005B1A23">
        <w:rPr>
          <w:lang w:val="nl-BE"/>
        </w:rPr>
        <w:t xml:space="preserve">10. </w:t>
      </w:r>
      <w:r w:rsidR="005B1A23" w:rsidRPr="005B1A23">
        <w:rPr>
          <w:lang w:val="nl-BE"/>
        </w:rPr>
        <w:t>Overeenkomsten voor functionele revalidatie met multidisciplinaire evaluatie bepaald in het kader van de nomenclatuur van de mobiliteitshulpmiddelen (790)</w:t>
      </w:r>
    </w:p>
    <w:p w:rsidR="005B1A23" w:rsidRPr="005B1A23" w:rsidRDefault="005B1A23" w:rsidP="005B1A23">
      <w:pPr>
        <w:rPr>
          <w:lang w:val="nl-BE"/>
        </w:rPr>
      </w:pPr>
      <w:r w:rsidRPr="005B1A23">
        <w:rPr>
          <w:lang w:val="nl-BE"/>
        </w:rPr>
        <w:t>De ordonnantie betreffende de Brusselse verzekeringsinstellingen op het gebied van de gezondheidszorg en bijstand aan personen bepaalt in artikel 2, 6° en artikel 3, § 2 dat de Brusselse verzekerde "elke persoon [is] die op het grondgebied van het tweetalige gebied Brussel-Hoofdstad woont, en voor wie het socialezekerheidsstelsel van België van toepassing is..." en dat "de Brusselse verzekeringsinstellingen de voordelen en diensten die voortvloeien uit de opdrachten vermeld in artikel 10 aan de Brusselse verzekerden [verstrekken]".</w:t>
      </w:r>
    </w:p>
    <w:p w:rsidR="005B1A23" w:rsidRPr="005B1A23" w:rsidRDefault="005B1A23" w:rsidP="005B1A23">
      <w:pPr>
        <w:rPr>
          <w:lang w:val="nl-BE"/>
        </w:rPr>
      </w:pPr>
      <w:r w:rsidRPr="005B1A23">
        <w:rPr>
          <w:lang w:val="nl-BE"/>
        </w:rPr>
        <w:t>Het samenwerkingsakkoord tussen deelentiteiten betreffende de financiering van zorg bij gebruik van zorgvoorzieningen over de grenzen van de deelstaat bepaalt in zijn artikel 6, § 1 echter het volgende: "In een overgangsfase kennen de deelentiteiten aan alle personen met een zorgbehoefte met woonplaats in een bepaalde deelentiteit maar die verblijven in of gebruik maken van een voorziening die door een andere deelentiteit erkend is, dezelfde rechten toe, ongeacht hun woonplaats".</w:t>
      </w:r>
    </w:p>
    <w:p w:rsidR="005B1A23" w:rsidRPr="005B1A23" w:rsidRDefault="005B1A23" w:rsidP="005B1A23">
      <w:pPr>
        <w:rPr>
          <w:lang w:val="nl-BE"/>
        </w:rPr>
      </w:pPr>
      <w:r w:rsidRPr="005B1A23">
        <w:rPr>
          <w:lang w:val="nl-BE"/>
        </w:rPr>
        <w:t>Artikel 7 van dat samenwerkingsakkoord verduidelijkt dat de overgangsfase voor drie jaar geldt en, bij gebrek aan een nieuw akkoord, éénmalig stilzwijgend verlengd wordt voor een nieuwe periode van drie jaar.</w:t>
      </w:r>
    </w:p>
    <w:p w:rsidR="005B1A23" w:rsidRPr="005B1A23" w:rsidRDefault="005B1A23" w:rsidP="005B1A23">
      <w:pPr>
        <w:rPr>
          <w:lang w:val="nl-BE"/>
        </w:rPr>
      </w:pPr>
      <w:r w:rsidRPr="005B1A23">
        <w:rPr>
          <w:lang w:val="nl-BE"/>
        </w:rPr>
        <w:t>Bijgevolg zal Iriscare, vanaf 1 januari 2019 tot 31 december 2021 en uiterlijk tot 31 december 2024, aan alle personen die in België gedomicilieerd zijn en een beroep doen op een aan die entiteit gekoppelde erkende instelling dezelfde rechten toekennen als diegene die worden toegekend aan de inwoners van het tweetalige gebied Brussel-Hoofdstad.</w:t>
      </w:r>
    </w:p>
    <w:p w:rsidR="005B1A23" w:rsidRPr="005B1A23" w:rsidRDefault="005B1A23" w:rsidP="005B1A23">
      <w:pPr>
        <w:rPr>
          <w:lang w:val="nl-BE"/>
        </w:rPr>
      </w:pPr>
      <w:r w:rsidRPr="005B1A23">
        <w:rPr>
          <w:lang w:val="nl-BE"/>
        </w:rPr>
        <w:t>Wat Iriscare betreft, gaat het om 3 functionele revalidatiecentra voor multidisciplinaire evaluatie vermeld in de nomenclatuur van de mobiliteitshulpmiddelen:</w:t>
      </w:r>
    </w:p>
    <w:p w:rsidR="005B1A23" w:rsidRPr="005B1A23" w:rsidRDefault="005B1A23" w:rsidP="005B1A23">
      <w:pPr>
        <w:pStyle w:val="Lijstalinea"/>
        <w:rPr>
          <w:lang w:val="nl-BE"/>
        </w:rPr>
      </w:pPr>
      <w:r w:rsidRPr="005B1A23">
        <w:rPr>
          <w:lang w:val="nl-BE"/>
        </w:rPr>
        <w:t xml:space="preserve">Het centrum </w:t>
      </w:r>
      <w:proofErr w:type="spellStart"/>
      <w:r w:rsidRPr="005B1A23">
        <w:rPr>
          <w:lang w:val="nl-BE"/>
        </w:rPr>
        <w:t>Valisana</w:t>
      </w:r>
      <w:proofErr w:type="spellEnd"/>
      <w:r w:rsidRPr="005B1A23">
        <w:rPr>
          <w:lang w:val="nl-BE"/>
        </w:rPr>
        <w:t xml:space="preserve"> (7.90.001.64)</w:t>
      </w:r>
    </w:p>
    <w:p w:rsidR="005B1A23" w:rsidRPr="005B1A23" w:rsidRDefault="005B1A23" w:rsidP="005B1A23">
      <w:pPr>
        <w:pStyle w:val="Lijstalinea"/>
        <w:rPr>
          <w:lang w:val="nl-BE"/>
        </w:rPr>
      </w:pPr>
      <w:r w:rsidRPr="005B1A23">
        <w:rPr>
          <w:lang w:val="nl-BE"/>
        </w:rPr>
        <w:t>Het universitair ziekenhuiscentrum Brugmann (7.90.121.41) en</w:t>
      </w:r>
    </w:p>
    <w:p w:rsidR="005B1A23" w:rsidRPr="005B1A23" w:rsidRDefault="005B1A23" w:rsidP="005B1A23">
      <w:pPr>
        <w:pStyle w:val="Lijstalinea"/>
        <w:rPr>
          <w:lang w:val="nl-BE"/>
        </w:rPr>
      </w:pPr>
      <w:r w:rsidRPr="005B1A23">
        <w:rPr>
          <w:lang w:val="nl-BE"/>
        </w:rPr>
        <w:t>De Europa Ziekenhuizen (7.90.122.40).</w:t>
      </w:r>
    </w:p>
    <w:p w:rsidR="005B1A23" w:rsidRPr="005B1A23" w:rsidRDefault="005B1A23" w:rsidP="005B1A23">
      <w:pPr>
        <w:rPr>
          <w:lang w:val="nl-BE"/>
        </w:rPr>
      </w:pPr>
      <w:r w:rsidRPr="005B1A23">
        <w:rPr>
          <w:lang w:val="nl-BE"/>
        </w:rPr>
        <w:t>Bijgevolg zal Iriscare financieel tegemoetkomen voor de multidisciplinaire evaluaties in die drie centra, ongeacht de woonplaats van de patiënt, als hij aan de andere voorwaarden voldoet.</w:t>
      </w:r>
    </w:p>
    <w:p w:rsidR="005B1A23" w:rsidRPr="005B1A23" w:rsidRDefault="005B1A23" w:rsidP="005B1A23">
      <w:pPr>
        <w:rPr>
          <w:lang w:val="nl-BE"/>
        </w:rPr>
      </w:pPr>
      <w:r w:rsidRPr="005B1A23">
        <w:rPr>
          <w:lang w:val="nl-BE"/>
        </w:rPr>
        <w:t>De pseudocodes van verstrekkingen die door die centra kunnen worden gefactureerd hangen af van het erkenningsnummer:</w:t>
      </w:r>
    </w:p>
    <w:tbl>
      <w:tblPr>
        <w:tblStyle w:val="TableNormal"/>
        <w:tblW w:w="9502"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1419"/>
        <w:gridCol w:w="1419"/>
        <w:gridCol w:w="1276"/>
        <w:gridCol w:w="2411"/>
      </w:tblGrid>
      <w:tr w:rsidR="008A6F96" w:rsidRPr="00AA1362" w:rsidTr="008A6F96">
        <w:trPr>
          <w:trHeight w:val="1347"/>
        </w:trPr>
        <w:tc>
          <w:tcPr>
            <w:tcW w:w="2977" w:type="dxa"/>
            <w:vMerge w:val="restart"/>
            <w:tcMar>
              <w:top w:w="113" w:type="dxa"/>
              <w:left w:w="113" w:type="dxa"/>
              <w:bottom w:w="113" w:type="dxa"/>
              <w:right w:w="113" w:type="dxa"/>
            </w:tcMar>
          </w:tcPr>
          <w:p w:rsidR="008A6F96" w:rsidRPr="008A6F96" w:rsidRDefault="005B1A23" w:rsidP="003D6EE9">
            <w:pPr>
              <w:pStyle w:val="TableParagraph"/>
              <w:spacing w:line="267" w:lineRule="exact"/>
              <w:ind w:left="107"/>
              <w:rPr>
                <w:b/>
              </w:rPr>
            </w:pPr>
            <w:proofErr w:type="spellStart"/>
            <w:r w:rsidRPr="005B1A23">
              <w:rPr>
                <w:b/>
              </w:rPr>
              <w:t>Beschrijving</w:t>
            </w:r>
            <w:proofErr w:type="spellEnd"/>
          </w:p>
        </w:tc>
        <w:tc>
          <w:tcPr>
            <w:tcW w:w="2838" w:type="dxa"/>
            <w:gridSpan w:val="2"/>
            <w:tcMar>
              <w:top w:w="113" w:type="dxa"/>
              <w:left w:w="113" w:type="dxa"/>
              <w:bottom w:w="113" w:type="dxa"/>
              <w:right w:w="113" w:type="dxa"/>
            </w:tcMar>
          </w:tcPr>
          <w:p w:rsidR="008A6F96" w:rsidRDefault="008A6F96" w:rsidP="003D6EE9">
            <w:pPr>
              <w:pStyle w:val="TableParagraph"/>
              <w:spacing w:line="267" w:lineRule="exact"/>
              <w:ind w:left="107"/>
            </w:pPr>
            <w:r>
              <w:t>790.0x</w:t>
            </w:r>
          </w:p>
          <w:p w:rsidR="008A6F96" w:rsidRDefault="008A6F96" w:rsidP="003D6EE9">
            <w:pPr>
              <w:pStyle w:val="TableParagraph"/>
              <w:spacing w:before="180"/>
              <w:ind w:left="107"/>
              <w:rPr>
                <w:b/>
              </w:rPr>
            </w:pPr>
            <w:r>
              <w:t xml:space="preserve">7.90.001.64 </w:t>
            </w:r>
            <w:r>
              <w:rPr>
                <w:b/>
              </w:rPr>
              <w:t>VALISANA</w:t>
            </w:r>
          </w:p>
        </w:tc>
        <w:tc>
          <w:tcPr>
            <w:tcW w:w="3687" w:type="dxa"/>
            <w:gridSpan w:val="2"/>
            <w:tcMar>
              <w:top w:w="113" w:type="dxa"/>
              <w:left w:w="113" w:type="dxa"/>
              <w:bottom w:w="113" w:type="dxa"/>
              <w:right w:w="113" w:type="dxa"/>
            </w:tcMar>
          </w:tcPr>
          <w:p w:rsidR="008A6F96" w:rsidRDefault="008A6F96" w:rsidP="003D6EE9">
            <w:pPr>
              <w:pStyle w:val="TableParagraph"/>
              <w:spacing w:line="267" w:lineRule="exact"/>
              <w:ind w:left="103"/>
            </w:pPr>
            <w:r>
              <w:t>790.1x</w:t>
            </w:r>
          </w:p>
          <w:p w:rsidR="008A6F96" w:rsidRDefault="008A6F96" w:rsidP="003D6EE9">
            <w:pPr>
              <w:pStyle w:val="TableParagraph"/>
              <w:spacing w:before="180"/>
              <w:ind w:left="103"/>
              <w:rPr>
                <w:b/>
              </w:rPr>
            </w:pPr>
            <w:r>
              <w:t xml:space="preserve">7.90.121.41 </w:t>
            </w:r>
            <w:r>
              <w:rPr>
                <w:b/>
              </w:rPr>
              <w:t>Brugmann</w:t>
            </w:r>
          </w:p>
          <w:p w:rsidR="008A6F96" w:rsidRDefault="008A6F96" w:rsidP="003D6EE9">
            <w:pPr>
              <w:pStyle w:val="TableParagraph"/>
              <w:spacing w:before="183"/>
              <w:ind w:left="103"/>
              <w:rPr>
                <w:b/>
              </w:rPr>
            </w:pPr>
            <w:r>
              <w:t xml:space="preserve">7.90.122.40 </w:t>
            </w:r>
            <w:r>
              <w:rPr>
                <w:b/>
              </w:rPr>
              <w:t>Cliniques de l’Europe</w:t>
            </w:r>
          </w:p>
        </w:tc>
      </w:tr>
      <w:tr w:rsidR="008A6F96" w:rsidTr="008A6F96">
        <w:trPr>
          <w:trHeight w:val="451"/>
        </w:trPr>
        <w:tc>
          <w:tcPr>
            <w:tcW w:w="2977" w:type="dxa"/>
            <w:vMerge/>
            <w:tcBorders>
              <w:top w:val="nil"/>
            </w:tcBorders>
            <w:tcMar>
              <w:top w:w="113" w:type="dxa"/>
              <w:left w:w="113" w:type="dxa"/>
              <w:bottom w:w="113" w:type="dxa"/>
              <w:right w:w="113" w:type="dxa"/>
            </w:tcMar>
          </w:tcPr>
          <w:p w:rsidR="008A6F96" w:rsidRPr="008A6F96" w:rsidRDefault="008A6F96" w:rsidP="003D6EE9">
            <w:pPr>
              <w:rPr>
                <w:b/>
                <w:sz w:val="2"/>
                <w:szCs w:val="2"/>
                <w:lang w:val="fr-BE"/>
              </w:rPr>
            </w:pPr>
          </w:p>
        </w:tc>
        <w:tc>
          <w:tcPr>
            <w:tcW w:w="1419" w:type="dxa"/>
            <w:tcMar>
              <w:top w:w="113" w:type="dxa"/>
              <w:left w:w="113" w:type="dxa"/>
              <w:bottom w:w="113" w:type="dxa"/>
              <w:right w:w="113" w:type="dxa"/>
            </w:tcMar>
          </w:tcPr>
          <w:p w:rsidR="008A6F96" w:rsidRDefault="008A6F96" w:rsidP="003D6EE9">
            <w:pPr>
              <w:pStyle w:val="TableParagraph"/>
              <w:spacing w:before="1"/>
              <w:ind w:left="107"/>
            </w:pPr>
            <w:r>
              <w:t>Ambulant</w:t>
            </w:r>
          </w:p>
        </w:tc>
        <w:tc>
          <w:tcPr>
            <w:tcW w:w="1419" w:type="dxa"/>
            <w:tcMar>
              <w:top w:w="113" w:type="dxa"/>
              <w:left w:w="113" w:type="dxa"/>
              <w:bottom w:w="113" w:type="dxa"/>
              <w:right w:w="113" w:type="dxa"/>
            </w:tcMar>
          </w:tcPr>
          <w:p w:rsidR="008A6F96" w:rsidRDefault="005B1A23" w:rsidP="003D6EE9">
            <w:pPr>
              <w:pStyle w:val="TableParagraph"/>
              <w:spacing w:before="1"/>
              <w:ind w:left="106"/>
            </w:pPr>
            <w:proofErr w:type="spellStart"/>
            <w:r w:rsidRPr="005B1A23">
              <w:t>Gehospitaliseerd</w:t>
            </w:r>
            <w:proofErr w:type="spellEnd"/>
          </w:p>
        </w:tc>
        <w:tc>
          <w:tcPr>
            <w:tcW w:w="1276" w:type="dxa"/>
            <w:tcMar>
              <w:top w:w="113" w:type="dxa"/>
              <w:left w:w="113" w:type="dxa"/>
              <w:bottom w:w="113" w:type="dxa"/>
              <w:right w:w="113" w:type="dxa"/>
            </w:tcMar>
          </w:tcPr>
          <w:p w:rsidR="008A6F96" w:rsidRDefault="008A6F96" w:rsidP="003D6EE9">
            <w:pPr>
              <w:pStyle w:val="TableParagraph"/>
              <w:spacing w:before="1"/>
              <w:ind w:left="103"/>
            </w:pPr>
            <w:r>
              <w:t>Ambulant</w:t>
            </w:r>
          </w:p>
        </w:tc>
        <w:tc>
          <w:tcPr>
            <w:tcW w:w="2411" w:type="dxa"/>
            <w:tcMar>
              <w:top w:w="113" w:type="dxa"/>
              <w:left w:w="113" w:type="dxa"/>
              <w:bottom w:w="113" w:type="dxa"/>
              <w:right w:w="113" w:type="dxa"/>
            </w:tcMar>
          </w:tcPr>
          <w:p w:rsidR="008A6F96" w:rsidRDefault="005B1A23" w:rsidP="003D6EE9">
            <w:pPr>
              <w:pStyle w:val="TableParagraph"/>
              <w:spacing w:before="1"/>
              <w:ind w:left="105"/>
            </w:pPr>
            <w:proofErr w:type="spellStart"/>
            <w:r w:rsidRPr="005B1A23">
              <w:t>Gehospitaliseerd</w:t>
            </w:r>
            <w:proofErr w:type="spellEnd"/>
          </w:p>
        </w:tc>
      </w:tr>
      <w:tr w:rsidR="008A6F96" w:rsidTr="008A6F96">
        <w:trPr>
          <w:trHeight w:val="450"/>
        </w:trPr>
        <w:tc>
          <w:tcPr>
            <w:tcW w:w="2977" w:type="dxa"/>
            <w:tcMar>
              <w:top w:w="113" w:type="dxa"/>
              <w:left w:w="113" w:type="dxa"/>
              <w:bottom w:w="113" w:type="dxa"/>
              <w:right w:w="113" w:type="dxa"/>
            </w:tcMar>
          </w:tcPr>
          <w:p w:rsidR="008A6F96" w:rsidRPr="005B1A23" w:rsidRDefault="005B1A23" w:rsidP="003D6EE9">
            <w:pPr>
              <w:pStyle w:val="TableParagraph"/>
              <w:spacing w:line="267" w:lineRule="exact"/>
              <w:ind w:left="107"/>
              <w:rPr>
                <w:b/>
                <w:lang w:val="nl-BE"/>
              </w:rPr>
            </w:pPr>
            <w:r>
              <w:rPr>
                <w:b/>
                <w:lang w:val="nl-BE"/>
              </w:rPr>
              <w:t>Met programma in het centrum</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7"/>
            </w:pPr>
            <w:r>
              <w:t>770313</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6"/>
            </w:pPr>
            <w:r>
              <w:t>770324</w:t>
            </w:r>
          </w:p>
        </w:tc>
        <w:tc>
          <w:tcPr>
            <w:tcW w:w="1276" w:type="dxa"/>
            <w:tcMar>
              <w:top w:w="113" w:type="dxa"/>
              <w:left w:w="113" w:type="dxa"/>
              <w:bottom w:w="113" w:type="dxa"/>
              <w:right w:w="113" w:type="dxa"/>
            </w:tcMar>
          </w:tcPr>
          <w:p w:rsidR="008A6F96" w:rsidRDefault="008A6F96" w:rsidP="003D6EE9">
            <w:pPr>
              <w:pStyle w:val="TableParagraph"/>
              <w:spacing w:line="267" w:lineRule="exact"/>
              <w:ind w:left="103"/>
            </w:pPr>
            <w:r>
              <w:t>770276</w:t>
            </w:r>
          </w:p>
        </w:tc>
        <w:tc>
          <w:tcPr>
            <w:tcW w:w="2411" w:type="dxa"/>
            <w:tcMar>
              <w:top w:w="113" w:type="dxa"/>
              <w:left w:w="113" w:type="dxa"/>
              <w:bottom w:w="113" w:type="dxa"/>
              <w:right w:w="113" w:type="dxa"/>
            </w:tcMar>
          </w:tcPr>
          <w:p w:rsidR="008A6F96" w:rsidRDefault="008A6F96" w:rsidP="003D6EE9">
            <w:pPr>
              <w:pStyle w:val="TableParagraph"/>
              <w:spacing w:line="267" w:lineRule="exact"/>
              <w:ind w:left="105"/>
            </w:pPr>
            <w:r>
              <w:t>770280</w:t>
            </w:r>
          </w:p>
        </w:tc>
      </w:tr>
      <w:tr w:rsidR="008A6F96" w:rsidTr="008A6F96">
        <w:trPr>
          <w:trHeight w:val="450"/>
        </w:trPr>
        <w:tc>
          <w:tcPr>
            <w:tcW w:w="2977" w:type="dxa"/>
            <w:tcMar>
              <w:top w:w="113" w:type="dxa"/>
              <w:left w:w="113" w:type="dxa"/>
              <w:bottom w:w="113" w:type="dxa"/>
              <w:right w:w="113" w:type="dxa"/>
            </w:tcMar>
          </w:tcPr>
          <w:p w:rsidR="008A6F96" w:rsidRPr="005B1A23" w:rsidRDefault="005B1A23" w:rsidP="003D6EE9">
            <w:pPr>
              <w:pStyle w:val="TableParagraph"/>
              <w:spacing w:line="267" w:lineRule="exact"/>
              <w:ind w:left="107"/>
              <w:rPr>
                <w:b/>
                <w:lang w:val="nl-BE"/>
              </w:rPr>
            </w:pPr>
            <w:r w:rsidRPr="005B1A23">
              <w:rPr>
                <w:b/>
                <w:lang w:val="nl-BE"/>
              </w:rPr>
              <w:t>Zonder programma in het centrum</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7"/>
            </w:pPr>
            <w:r>
              <w:t>770335</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6"/>
            </w:pPr>
            <w:r>
              <w:t>770346</w:t>
            </w:r>
          </w:p>
        </w:tc>
        <w:tc>
          <w:tcPr>
            <w:tcW w:w="1276" w:type="dxa"/>
            <w:tcMar>
              <w:top w:w="113" w:type="dxa"/>
              <w:left w:w="113" w:type="dxa"/>
              <w:bottom w:w="113" w:type="dxa"/>
              <w:right w:w="113" w:type="dxa"/>
            </w:tcMar>
          </w:tcPr>
          <w:p w:rsidR="008A6F96" w:rsidRDefault="008A6F96" w:rsidP="003D6EE9">
            <w:pPr>
              <w:pStyle w:val="TableParagraph"/>
              <w:spacing w:line="267" w:lineRule="exact"/>
              <w:ind w:left="103"/>
            </w:pPr>
            <w:r>
              <w:t>770291</w:t>
            </w:r>
          </w:p>
        </w:tc>
        <w:tc>
          <w:tcPr>
            <w:tcW w:w="2411" w:type="dxa"/>
            <w:tcMar>
              <w:top w:w="113" w:type="dxa"/>
              <w:left w:w="113" w:type="dxa"/>
              <w:bottom w:w="113" w:type="dxa"/>
              <w:right w:w="113" w:type="dxa"/>
            </w:tcMar>
          </w:tcPr>
          <w:p w:rsidR="008A6F96" w:rsidRDefault="008A6F96" w:rsidP="003D6EE9">
            <w:pPr>
              <w:pStyle w:val="TableParagraph"/>
              <w:spacing w:line="267" w:lineRule="exact"/>
              <w:ind w:left="105"/>
            </w:pPr>
            <w:r>
              <w:t>770302</w:t>
            </w:r>
          </w:p>
        </w:tc>
      </w:tr>
    </w:tbl>
    <w:p w:rsidR="008A6F96" w:rsidRPr="000714E5" w:rsidRDefault="005B1A23" w:rsidP="008A6F96">
      <w:pPr>
        <w:pStyle w:val="Kop2"/>
        <w:rPr>
          <w:lang w:val="nl-BE"/>
        </w:rPr>
      </w:pPr>
      <w:r w:rsidRPr="000714E5">
        <w:rPr>
          <w:lang w:val="nl-BE"/>
        </w:rPr>
        <w:t>11. Regels bij verhuizing van het Waalse Gewest of het Vlaamse Gewest naar het Brussels Hoofdstedelijk Gewest</w:t>
      </w:r>
    </w:p>
    <w:p w:rsidR="005B1A23" w:rsidRPr="005B1A23" w:rsidRDefault="005B1A23" w:rsidP="008A6F96">
      <w:pPr>
        <w:rPr>
          <w:b/>
          <w:lang w:val="nl-BE"/>
        </w:rPr>
      </w:pPr>
      <w:r w:rsidRPr="00AC6EF7">
        <w:rPr>
          <w:rStyle w:val="Intensievebenadrukking"/>
        </w:rPr>
        <w:t>Hernieuwingstermijn</w:t>
      </w:r>
      <w:r w:rsidRPr="005B1A23">
        <w:rPr>
          <w:b/>
          <w:lang w:val="nl-BE"/>
        </w:rPr>
        <w:t xml:space="preserve"> </w:t>
      </w:r>
    </w:p>
    <w:p w:rsidR="008A6F96" w:rsidRPr="005B1A23" w:rsidRDefault="005B1A23" w:rsidP="008A6F96">
      <w:pPr>
        <w:rPr>
          <w:lang w:val="nl-BE"/>
        </w:rPr>
      </w:pPr>
      <w:r w:rsidRPr="005B1A23">
        <w:rPr>
          <w:lang w:val="nl-BE"/>
        </w:rPr>
        <w:t xml:space="preserve">De hernieuwingstermijn wordt berekend door toepassing van de nomenclatuur en is gebaseerd op de datum van de laatste tegemoetkoming voor een mobiliteitshulpmiddel die de persoon heeft ontvangen, ongeacht of dat in het Waalse Gewest of in de Vlaamse Gemeenschap gebeurde. De Brusselse verzekeringsinstelling contacteert daartoe de Waalse verzekeringsinstelling of de </w:t>
      </w:r>
      <w:proofErr w:type="spellStart"/>
      <w:r w:rsidRPr="005B1A23">
        <w:rPr>
          <w:lang w:val="nl-BE"/>
        </w:rPr>
        <w:t>Zorgkas</w:t>
      </w:r>
      <w:proofErr w:type="spellEnd"/>
      <w:r w:rsidRPr="005B1A23">
        <w:rPr>
          <w:lang w:val="nl-BE"/>
        </w:rPr>
        <w:t>, die de nodige inlichtingen voor een goed dossierbeheer zal bezorgen.</w:t>
      </w:r>
    </w:p>
    <w:p w:rsidR="008A6F96" w:rsidRPr="005B1A23" w:rsidRDefault="008A6F96" w:rsidP="008A6F96">
      <w:pPr>
        <w:rPr>
          <w:lang w:val="nl-BE"/>
        </w:rPr>
      </w:pPr>
    </w:p>
    <w:p w:rsidR="008A6F96" w:rsidRPr="005B1A23" w:rsidRDefault="008A6F96" w:rsidP="008A6F96">
      <w:pPr>
        <w:pStyle w:val="Kop2"/>
        <w:rPr>
          <w:lang w:val="nl-BE"/>
        </w:rPr>
      </w:pPr>
      <w:r w:rsidRPr="005B1A23">
        <w:rPr>
          <w:lang w:val="nl-BE"/>
        </w:rPr>
        <w:t xml:space="preserve">12. </w:t>
      </w:r>
      <w:r w:rsidR="005B1A23" w:rsidRPr="005B1A23">
        <w:rPr>
          <w:lang w:val="nl-BE"/>
        </w:rPr>
        <w:t>Regels bij verhuizing van het Brussels Hoofdstedelijk Gewest naar het Waalse Gewest of het Vlaamse Gewest</w:t>
      </w:r>
    </w:p>
    <w:p w:rsidR="005B1A23" w:rsidRPr="005B1A23" w:rsidRDefault="005B1A23" w:rsidP="00AC6EF7">
      <w:pPr>
        <w:rPr>
          <w:b/>
          <w:bCs/>
          <w:iCs/>
          <w:caps/>
          <w:lang w:val="nl-BE"/>
        </w:rPr>
      </w:pPr>
      <w:r w:rsidRPr="005B1A23">
        <w:rPr>
          <w:lang w:val="nl-BE"/>
        </w:rPr>
        <w:t xml:space="preserve">En omgekeerd, bezorgen de Brusselse verzekeringsinstellingen de Waalse verzekeringsinstelling of de </w:t>
      </w:r>
      <w:proofErr w:type="spellStart"/>
      <w:r w:rsidRPr="005B1A23">
        <w:rPr>
          <w:lang w:val="nl-BE"/>
        </w:rPr>
        <w:t>Zorgkas</w:t>
      </w:r>
      <w:proofErr w:type="spellEnd"/>
      <w:r w:rsidRPr="005B1A23">
        <w:rPr>
          <w:lang w:val="nl-BE"/>
        </w:rPr>
        <w:t xml:space="preserve"> de nodige inlichtingen voor de toekenning van een mobiliteitshulpmiddel van personen die naar een andere deelentiteit zijn verhuisd (wijziging van domicilie).</w:t>
      </w:r>
    </w:p>
    <w:p w:rsidR="00305EFD" w:rsidRDefault="005B1A23" w:rsidP="00AC6EF7">
      <w:pPr>
        <w:rPr>
          <w:b/>
          <w:bCs/>
          <w:iCs/>
          <w:caps/>
          <w:lang w:val="nl-BE"/>
        </w:rPr>
      </w:pPr>
      <w:r w:rsidRPr="005B1A23">
        <w:rPr>
          <w:lang w:val="nl-BE"/>
        </w:rPr>
        <w:t xml:space="preserve"> </w:t>
      </w:r>
      <w:r w:rsidR="00305EFD">
        <w:rPr>
          <w:lang w:val="nl-BE"/>
        </w:rPr>
        <w:t>A</w:t>
      </w:r>
      <w:r w:rsidRPr="005B1A23">
        <w:rPr>
          <w:lang w:val="nl-BE"/>
        </w:rPr>
        <w:t>ls een persoon gedomicilieerd op het grondgebied van het Brussels Hoofdstedelijk Gewest zich in een andere deelentiteit domicilieert, kan Iriscare tegemoetkomen voor de huur van het mobiliteitshulpmiddel gedurende drie maanden te rekenen vanaf de eerste dag van de maand na de in het Rijksregister ingeschreven wijziging, de tijd waarin de persoon zijn situatie kan regulariseren. Cumulatie van identieke verstrekkingen tussen de woonplaats van vertrek en van aankomst is verboden.</w:t>
      </w:r>
    </w:p>
    <w:p w:rsidR="008A6F96" w:rsidRPr="00305EFD" w:rsidRDefault="008A6F96" w:rsidP="005B1A23">
      <w:pPr>
        <w:pStyle w:val="Kop2"/>
        <w:rPr>
          <w:lang w:val="nl-BE"/>
        </w:rPr>
      </w:pPr>
      <w:r w:rsidRPr="00305EFD">
        <w:rPr>
          <w:lang w:val="nl-BE"/>
        </w:rPr>
        <w:t xml:space="preserve">13. </w:t>
      </w:r>
      <w:r w:rsidR="00305EFD" w:rsidRPr="00305EFD">
        <w:rPr>
          <w:lang w:val="nl-BE"/>
        </w:rPr>
        <w:t>Aanvragen om nieuwe producten aan de lijst van producten toe te voegen</w:t>
      </w:r>
    </w:p>
    <w:p w:rsidR="00305EFD" w:rsidRPr="00305EFD" w:rsidRDefault="00305EFD" w:rsidP="00305EFD">
      <w:pPr>
        <w:rPr>
          <w:lang w:val="nl-BE"/>
        </w:rPr>
      </w:pPr>
      <w:r w:rsidRPr="00305EFD">
        <w:rPr>
          <w:lang w:val="nl-BE"/>
        </w:rPr>
        <w:t>De aanvragers en fabrikanten dienen hun aanvraag in bij Iriscare op basis van de oude RIZIV- modellen; de oude formulieren blijven tot minstens 31 december 2019 geldig.</w:t>
      </w:r>
    </w:p>
    <w:p w:rsidR="00305EFD" w:rsidRPr="00305EFD" w:rsidRDefault="00305EFD" w:rsidP="00305EFD">
      <w:pPr>
        <w:rPr>
          <w:lang w:val="nl-BE"/>
        </w:rPr>
      </w:pPr>
      <w:r w:rsidRPr="00305EFD">
        <w:rPr>
          <w:lang w:val="nl-BE"/>
        </w:rPr>
        <w:t>Het softwareprogramma blijft identiek aan dat van het RIZIV; het wordt op verzoek via het contactadres verzonden.</w:t>
      </w:r>
    </w:p>
    <w:p w:rsidR="00063077" w:rsidRPr="00305EFD" w:rsidRDefault="00305EFD" w:rsidP="00305EFD">
      <w:pPr>
        <w:rPr>
          <w:lang w:val="nl-BE"/>
        </w:rPr>
      </w:pPr>
      <w:r w:rsidRPr="00305EFD">
        <w:rPr>
          <w:lang w:val="nl-BE"/>
        </w:rPr>
        <w:t>Het mandaatformulier voor de mandatarissen is beschikbaar op de website.</w:t>
      </w:r>
    </w:p>
    <w:p w:rsidR="00063077" w:rsidRPr="000714E5" w:rsidRDefault="00063077" w:rsidP="00063077">
      <w:pPr>
        <w:pStyle w:val="Kop2"/>
        <w:rPr>
          <w:lang w:val="nl-BE"/>
        </w:rPr>
      </w:pPr>
      <w:r w:rsidRPr="000714E5">
        <w:rPr>
          <w:lang w:val="nl-BE"/>
        </w:rPr>
        <w:t>14. Contact</w:t>
      </w:r>
    </w:p>
    <w:p w:rsidR="00305EFD" w:rsidRPr="00305EFD" w:rsidRDefault="00305EFD" w:rsidP="00305EFD">
      <w:pPr>
        <w:rPr>
          <w:lang w:val="nl-BE"/>
        </w:rPr>
      </w:pPr>
      <w:r w:rsidRPr="00305EFD">
        <w:rPr>
          <w:lang w:val="nl-BE"/>
        </w:rPr>
        <w:t xml:space="preserve">U kan met al uw vragen over de mobiliteitshulpmiddelen terecht op het volgende adres: </w:t>
      </w:r>
      <w:proofErr w:type="spellStart"/>
      <w:r w:rsidRPr="00305EFD">
        <w:rPr>
          <w:lang w:val="nl-BE"/>
        </w:rPr>
        <w:t>handicap@iriscare.brussels</w:t>
      </w:r>
      <w:proofErr w:type="spellEnd"/>
    </w:p>
    <w:p w:rsidR="00063077" w:rsidRPr="00305EFD" w:rsidRDefault="00AC6EF7" w:rsidP="00AC6EF7">
      <w:pPr>
        <w:rPr>
          <w:lang w:val="nl-BE"/>
        </w:rPr>
      </w:pPr>
      <w:r>
        <w:rPr>
          <w:lang w:val="nl-BE"/>
        </w:rPr>
        <w:t>Klachten kan u zenden naar:</w:t>
      </w:r>
      <w:r>
        <w:rPr>
          <w:lang w:val="nl-BE"/>
        </w:rPr>
        <w:br/>
      </w:r>
      <w:r w:rsidR="00305EFD" w:rsidRPr="00305EFD">
        <w:rPr>
          <w:lang w:val="nl-BE"/>
        </w:rPr>
        <w:t xml:space="preserve">Dienst Bemiddeling, </w:t>
      </w:r>
      <w:r>
        <w:rPr>
          <w:lang w:val="nl-BE"/>
        </w:rPr>
        <w:br/>
      </w:r>
      <w:proofErr w:type="spellStart"/>
      <w:r w:rsidR="00305EFD" w:rsidRPr="00305EFD">
        <w:rPr>
          <w:lang w:val="nl-BE"/>
        </w:rPr>
        <w:t>Belliardstraat</w:t>
      </w:r>
      <w:proofErr w:type="spellEnd"/>
      <w:r w:rsidR="00305EFD" w:rsidRPr="00305EFD">
        <w:rPr>
          <w:lang w:val="nl-BE"/>
        </w:rPr>
        <w:t xml:space="preserve"> 71 bus 2</w:t>
      </w:r>
      <w:r>
        <w:rPr>
          <w:lang w:val="nl-BE"/>
        </w:rPr>
        <w:br/>
      </w:r>
      <w:r w:rsidR="00305EFD" w:rsidRPr="00305EFD">
        <w:rPr>
          <w:lang w:val="nl-BE"/>
        </w:rPr>
        <w:t xml:space="preserve">1040 Bruxelles </w:t>
      </w:r>
      <w:r>
        <w:rPr>
          <w:lang w:val="nl-BE"/>
        </w:rPr>
        <w:br/>
      </w:r>
      <w:proofErr w:type="spellStart"/>
      <w:r w:rsidR="00305EFD" w:rsidRPr="00305EFD">
        <w:rPr>
          <w:lang w:val="nl-BE"/>
        </w:rPr>
        <w:t>klachten@iriscare.brussels</w:t>
      </w:r>
      <w:proofErr w:type="spellEnd"/>
    </w:p>
    <w:sectPr w:rsidR="00063077" w:rsidRPr="00305EFD" w:rsidSect="000714E5">
      <w:headerReference w:type="first" r:id="rId15"/>
      <w:footerReference w:type="first" r:id="rId16"/>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62" w:rsidRDefault="00AA13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62" w:rsidRDefault="00AA13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6C1463" w:rsidRDefault="006C1463" w:rsidP="006C1463">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s2057" type="#_x0000_t75" style="position:absolute;margin-left:.4pt;margin-top:771pt;width:595.25pt;height:8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overlap="f">
          <v:imagedata r:id="rId1" o:title=""/>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62" w:rsidRPr="006C1463" w:rsidRDefault="00AA1362" w:rsidP="006C1463">
    <w:pPr>
      <w:pStyle w:val="Voetteks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62" w:rsidRDefault="00AA13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62" w:rsidRDefault="00AA136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6C1463"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7" o:spid="_x0000_s2056" type="#_x0000_t75" style="position:absolute;margin-left:0;margin-top:0;width:595.25pt;height:99.2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o:allowoverlap="f">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E5" w:rsidRPr="00A8139F" w:rsidRDefault="000714E5"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3077"/>
    <w:rsid w:val="00064C99"/>
    <w:rsid w:val="000656A0"/>
    <w:rsid w:val="00070A9C"/>
    <w:rsid w:val="000714E5"/>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15A3"/>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05EFD"/>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76A80"/>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1A23"/>
    <w:rsid w:val="005B3F2F"/>
    <w:rsid w:val="005B4EA8"/>
    <w:rsid w:val="005B6573"/>
    <w:rsid w:val="005C16EE"/>
    <w:rsid w:val="005C20A6"/>
    <w:rsid w:val="005C64A6"/>
    <w:rsid w:val="005D4F7E"/>
    <w:rsid w:val="005D697E"/>
    <w:rsid w:val="005E333F"/>
    <w:rsid w:val="005E39E7"/>
    <w:rsid w:val="005E4A29"/>
    <w:rsid w:val="005E5A89"/>
    <w:rsid w:val="005E6FCD"/>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63"/>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A6F96"/>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A1362"/>
    <w:rsid w:val="00AA4521"/>
    <w:rsid w:val="00AA4BD7"/>
    <w:rsid w:val="00AA624F"/>
    <w:rsid w:val="00AA796C"/>
    <w:rsid w:val="00AB1439"/>
    <w:rsid w:val="00AB7540"/>
    <w:rsid w:val="00AC2ECA"/>
    <w:rsid w:val="00AC3A77"/>
    <w:rsid w:val="00AC4682"/>
    <w:rsid w:val="00AC64AA"/>
    <w:rsid w:val="00AC6EF7"/>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3BC"/>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575C3"/>
    <w:rsid w:val="00E60EC6"/>
    <w:rsid w:val="00E616D0"/>
    <w:rsid w:val="00E6573D"/>
    <w:rsid w:val="00E7083A"/>
    <w:rsid w:val="00E713F7"/>
    <w:rsid w:val="00E72E94"/>
    <w:rsid w:val="00E76137"/>
    <w:rsid w:val="00E761FF"/>
    <w:rsid w:val="00E80DCF"/>
    <w:rsid w:val="00E83FB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rsid w:val="00CD562A"/>
    <w:rPr>
      <w:rFonts w:asciiTheme="minorHAnsi" w:eastAsiaTheme="minorEastAsia" w:hAnsiTheme="minorHAnsi" w:cstheme="minorBidi"/>
      <w:b/>
      <w:bCs/>
      <w:sz w:val="22"/>
      <w:szCs w:val="28"/>
      <w:lang w:val="nl-NL" w:eastAsia="nl-NL"/>
    </w:rPr>
  </w:style>
  <w:style w:type="table" w:customStyle="1" w:styleId="TableNormal">
    <w:name w:val="Table Normal"/>
    <w:uiPriority w:val="2"/>
    <w:semiHidden/>
    <w:unhideWhenUsed/>
    <w:qFormat/>
    <w:rsid w:val="008A6F9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A6F96"/>
    <w:pPr>
      <w:widowControl w:val="0"/>
      <w:tabs>
        <w:tab w:val="clear" w:pos="9072"/>
      </w:tabs>
      <w:autoSpaceDE w:val="0"/>
      <w:autoSpaceDN w:val="0"/>
      <w:spacing w:after="0"/>
      <w:ind w:left="141"/>
    </w:pPr>
    <w:rPr>
      <w:rFonts w:eastAsia="Calibri" w:cs="Calibri"/>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L200_Medical-Medisch@UNION-NEUTR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CC48-09BE-490D-A385-B99B954A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2824</Words>
  <Characters>15536</Characters>
  <Application>Microsoft Office Word</Application>
  <DocSecurity>0</DocSecurity>
  <Lines>129</Lines>
  <Paragraphs>36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18324</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8</cp:revision>
  <cp:lastPrinted>2018-12-19T10:03:00Z</cp:lastPrinted>
  <dcterms:created xsi:type="dcterms:W3CDTF">2019-07-30T14:00:00Z</dcterms:created>
  <dcterms:modified xsi:type="dcterms:W3CDTF">2019-09-30T07:18:00Z</dcterms:modified>
</cp:coreProperties>
</file>