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24" w:rsidRDefault="00717B24">
      <w:pPr>
        <w:pStyle w:val="Corpsdetexte"/>
        <w:spacing w:before="80"/>
        <w:ind w:left="4170" w:right="4170"/>
        <w:jc w:val="center"/>
      </w:pPr>
    </w:p>
    <w:p w:rsidR="00717B24" w:rsidRDefault="00717B24">
      <w:pPr>
        <w:spacing w:before="8"/>
        <w:rPr>
          <w:b/>
          <w:sz w:val="8"/>
        </w:r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51"/>
        <w:gridCol w:w="2541"/>
        <w:gridCol w:w="2038"/>
        <w:gridCol w:w="2496"/>
      </w:tblGrid>
      <w:tr w:rsidR="00717B24">
        <w:trPr>
          <w:trHeight w:val="914"/>
        </w:trPr>
        <w:tc>
          <w:tcPr>
            <w:tcW w:w="9026" w:type="dxa"/>
            <w:gridSpan w:val="4"/>
          </w:tcPr>
          <w:p w:rsidR="00717B24" w:rsidRDefault="005B2C78">
            <w:pPr>
              <w:pStyle w:val="TableParagraph"/>
              <w:spacing w:before="83"/>
              <w:ind w:left="673" w:right="656"/>
              <w:jc w:val="center"/>
              <w:rPr>
                <w:sz w:val="18"/>
              </w:rPr>
            </w:pPr>
            <w:r>
              <w:rPr>
                <w:sz w:val="18"/>
              </w:rPr>
              <w:t>A ENVOYER SOUS ENVELOPPE FERMEE AU MEDECIN-CONSEIL</w:t>
            </w:r>
          </w:p>
          <w:p w:rsidR="00717B24" w:rsidRDefault="00717B24">
            <w:pPr>
              <w:pStyle w:val="TableParagraph"/>
              <w:spacing w:before="4"/>
              <w:rPr>
                <w:b/>
                <w:sz w:val="18"/>
              </w:rPr>
            </w:pPr>
          </w:p>
          <w:p w:rsidR="00717B24" w:rsidRDefault="005B2C78">
            <w:pPr>
              <w:pStyle w:val="TableParagraph"/>
              <w:ind w:left="673" w:right="657"/>
              <w:jc w:val="center"/>
              <w:rPr>
                <w:b/>
                <w:sz w:val="18"/>
              </w:rPr>
            </w:pPr>
            <w:r>
              <w:rPr>
                <w:b/>
                <w:sz w:val="18"/>
                <w:u w:val="single"/>
              </w:rPr>
              <w:t>Avis médical pour l'intervention financière pour un patient bénéficiant de soins palliatifs à domicile</w:t>
            </w:r>
            <w:bookmarkStart w:id="0" w:name="_GoBack"/>
            <w:bookmarkEnd w:id="0"/>
          </w:p>
        </w:tc>
      </w:tr>
      <w:tr w:rsidR="00717B24">
        <w:trPr>
          <w:trHeight w:val="1027"/>
        </w:trPr>
        <w:tc>
          <w:tcPr>
            <w:tcW w:w="1951" w:type="dxa"/>
            <w:tcBorders>
              <w:bottom w:val="single" w:sz="18" w:space="0" w:color="000000"/>
              <w:right w:val="nil"/>
            </w:tcBorders>
          </w:tcPr>
          <w:p w:rsidR="00717B24" w:rsidRDefault="00717B24">
            <w:pPr>
              <w:pStyle w:val="TableParagraph"/>
              <w:spacing w:before="4"/>
              <w:rPr>
                <w:b/>
                <w:sz w:val="17"/>
              </w:rPr>
            </w:pPr>
          </w:p>
          <w:p w:rsidR="00717B24" w:rsidRDefault="005B2C78">
            <w:pPr>
              <w:pStyle w:val="TableParagraph"/>
              <w:ind w:left="118" w:right="413"/>
              <w:rPr>
                <w:sz w:val="18"/>
              </w:rPr>
            </w:pPr>
            <w:r>
              <w:rPr>
                <w:sz w:val="18"/>
              </w:rPr>
              <w:t>Nom du patient: Adresse du patient:</w:t>
            </w:r>
          </w:p>
        </w:tc>
        <w:tc>
          <w:tcPr>
            <w:tcW w:w="2541" w:type="dxa"/>
            <w:tcBorders>
              <w:left w:val="nil"/>
              <w:bottom w:val="single" w:sz="18" w:space="0" w:color="000000"/>
              <w:right w:val="nil"/>
            </w:tcBorders>
          </w:tcPr>
          <w:p w:rsidR="00717B24" w:rsidRDefault="00717B24">
            <w:pPr>
              <w:pStyle w:val="TableParagraph"/>
              <w:spacing w:before="4"/>
              <w:rPr>
                <w:b/>
                <w:sz w:val="17"/>
              </w:rPr>
            </w:pPr>
          </w:p>
          <w:p w:rsidR="00717B24" w:rsidRDefault="005B2C78">
            <w:pPr>
              <w:pStyle w:val="TableParagraph"/>
              <w:ind w:left="450"/>
              <w:rPr>
                <w:sz w:val="18"/>
              </w:rPr>
            </w:pPr>
            <w:r>
              <w:rPr>
                <w:sz w:val="18"/>
              </w:rPr>
              <w:t>...........................................</w:t>
            </w:r>
          </w:p>
          <w:p w:rsidR="00717B24" w:rsidRDefault="005B2C78">
            <w:pPr>
              <w:pStyle w:val="TableParagraph"/>
              <w:spacing w:before="1" w:line="207" w:lineRule="exact"/>
              <w:ind w:left="448"/>
              <w:rPr>
                <w:sz w:val="18"/>
              </w:rPr>
            </w:pPr>
            <w:r>
              <w:rPr>
                <w:sz w:val="18"/>
              </w:rPr>
              <w:t>...........................................</w:t>
            </w:r>
          </w:p>
          <w:p w:rsidR="00717B24" w:rsidRDefault="005B2C78">
            <w:pPr>
              <w:pStyle w:val="TableParagraph"/>
              <w:spacing w:line="207" w:lineRule="exact"/>
              <w:ind w:left="447"/>
              <w:rPr>
                <w:sz w:val="18"/>
              </w:rPr>
            </w:pPr>
            <w:r>
              <w:rPr>
                <w:sz w:val="18"/>
              </w:rPr>
              <w:t>...........................................</w:t>
            </w:r>
          </w:p>
        </w:tc>
        <w:tc>
          <w:tcPr>
            <w:tcW w:w="2038" w:type="dxa"/>
            <w:tcBorders>
              <w:left w:val="nil"/>
              <w:bottom w:val="single" w:sz="18" w:space="0" w:color="000000"/>
              <w:right w:val="nil"/>
            </w:tcBorders>
          </w:tcPr>
          <w:p w:rsidR="00717B24" w:rsidRDefault="00717B24">
            <w:pPr>
              <w:pStyle w:val="TableParagraph"/>
              <w:spacing w:before="4"/>
              <w:rPr>
                <w:b/>
                <w:sz w:val="17"/>
              </w:rPr>
            </w:pPr>
          </w:p>
          <w:p w:rsidR="00717B24" w:rsidRDefault="005B2C78">
            <w:pPr>
              <w:pStyle w:val="TableParagraph"/>
              <w:ind w:left="149"/>
              <w:rPr>
                <w:sz w:val="18"/>
              </w:rPr>
            </w:pPr>
            <w:r>
              <w:rPr>
                <w:sz w:val="18"/>
              </w:rPr>
              <w:t>Mutualité:</w:t>
            </w:r>
          </w:p>
          <w:p w:rsidR="00717B24" w:rsidRDefault="005B2C78">
            <w:pPr>
              <w:pStyle w:val="TableParagraph"/>
              <w:spacing w:before="1"/>
              <w:ind w:left="149" w:right="352"/>
              <w:rPr>
                <w:sz w:val="18"/>
              </w:rPr>
            </w:pPr>
            <w:r>
              <w:rPr>
                <w:sz w:val="18"/>
              </w:rPr>
              <w:t>Numéro d'affiliation: Numéro de compte:</w:t>
            </w:r>
          </w:p>
        </w:tc>
        <w:tc>
          <w:tcPr>
            <w:tcW w:w="2496" w:type="dxa"/>
            <w:tcBorders>
              <w:left w:val="nil"/>
              <w:bottom w:val="single" w:sz="18" w:space="0" w:color="000000"/>
            </w:tcBorders>
          </w:tcPr>
          <w:p w:rsidR="00717B24" w:rsidRDefault="00717B24">
            <w:pPr>
              <w:pStyle w:val="TableParagraph"/>
              <w:spacing w:before="4"/>
              <w:rPr>
                <w:b/>
                <w:sz w:val="17"/>
              </w:rPr>
            </w:pPr>
          </w:p>
          <w:p w:rsidR="00717B24" w:rsidRDefault="005B2C78">
            <w:pPr>
              <w:pStyle w:val="TableParagraph"/>
              <w:ind w:left="384"/>
              <w:rPr>
                <w:sz w:val="18"/>
              </w:rPr>
            </w:pPr>
            <w:r>
              <w:rPr>
                <w:sz w:val="18"/>
              </w:rPr>
              <w:t>...........................................</w:t>
            </w:r>
          </w:p>
          <w:p w:rsidR="00717B24" w:rsidRDefault="005B2C78">
            <w:pPr>
              <w:pStyle w:val="TableParagraph"/>
              <w:spacing w:before="1" w:line="207" w:lineRule="exact"/>
              <w:ind w:left="386"/>
              <w:rPr>
                <w:sz w:val="18"/>
              </w:rPr>
            </w:pPr>
            <w:r>
              <w:rPr>
                <w:sz w:val="18"/>
              </w:rPr>
              <w:t>...........................................</w:t>
            </w:r>
          </w:p>
          <w:p w:rsidR="00717B24" w:rsidRDefault="005B2C78">
            <w:pPr>
              <w:pStyle w:val="TableParagraph"/>
              <w:spacing w:line="207" w:lineRule="exact"/>
              <w:ind w:left="385"/>
              <w:rPr>
                <w:sz w:val="18"/>
              </w:rPr>
            </w:pPr>
            <w:r>
              <w:rPr>
                <w:sz w:val="18"/>
              </w:rPr>
              <w:t>...........................................</w:t>
            </w:r>
          </w:p>
        </w:tc>
      </w:tr>
      <w:tr w:rsidR="00717B24">
        <w:trPr>
          <w:trHeight w:val="8874"/>
        </w:trPr>
        <w:tc>
          <w:tcPr>
            <w:tcW w:w="9026" w:type="dxa"/>
            <w:gridSpan w:val="4"/>
            <w:tcBorders>
              <w:top w:val="single" w:sz="18" w:space="0" w:color="000000"/>
            </w:tcBorders>
          </w:tcPr>
          <w:p w:rsidR="00717B24" w:rsidRDefault="00717B24">
            <w:pPr>
              <w:pStyle w:val="TableParagraph"/>
              <w:spacing w:before="2"/>
              <w:rPr>
                <w:b/>
                <w:sz w:val="17"/>
              </w:rPr>
            </w:pPr>
          </w:p>
          <w:p w:rsidR="00717B24" w:rsidRDefault="005B2C78">
            <w:pPr>
              <w:pStyle w:val="TableParagraph"/>
              <w:tabs>
                <w:tab w:val="left" w:pos="685"/>
              </w:tabs>
              <w:ind w:left="685" w:right="2203" w:hanging="568"/>
              <w:rPr>
                <w:sz w:val="18"/>
              </w:rPr>
            </w:pPr>
            <w:r>
              <w:rPr>
                <w:rFonts w:ascii="Wingdings" w:hAnsi="Wingdings"/>
                <w:sz w:val="18"/>
              </w:rPr>
              <w:t></w:t>
            </w:r>
            <w:r>
              <w:rPr>
                <w:sz w:val="18"/>
              </w:rPr>
              <w:tab/>
            </w:r>
            <w:r>
              <w:rPr>
                <w:sz w:val="18"/>
                <w:u w:val="single"/>
              </w:rPr>
              <w:t>Répond à la définition de patient palliatif - bénéficiaire d'une intervention financière:</w:t>
            </w:r>
            <w:r>
              <w:rPr>
                <w:sz w:val="18"/>
              </w:rPr>
              <w:t xml:space="preserve"> Diagnostic en matière de soins</w:t>
            </w:r>
            <w:r>
              <w:rPr>
                <w:spacing w:val="-3"/>
                <w:sz w:val="18"/>
              </w:rPr>
              <w:t xml:space="preserve"> </w:t>
            </w:r>
            <w:r>
              <w:rPr>
                <w:sz w:val="18"/>
              </w:rPr>
              <w:t>palliatifs:</w:t>
            </w:r>
          </w:p>
          <w:p w:rsidR="00717B24" w:rsidRDefault="005B2C78">
            <w:pPr>
              <w:pStyle w:val="TableParagraph"/>
              <w:tabs>
                <w:tab w:val="left" w:pos="1819"/>
              </w:tabs>
              <w:spacing w:line="207" w:lineRule="exact"/>
              <w:ind w:left="685"/>
              <w:rPr>
                <w:sz w:val="18"/>
              </w:rPr>
            </w:pPr>
            <w:r>
              <w:rPr>
                <w:sz w:val="18"/>
              </w:rPr>
              <w:t xml:space="preserve">soit(1) </w:t>
            </w:r>
            <w:r>
              <w:rPr>
                <w:spacing w:val="5"/>
                <w:sz w:val="18"/>
              </w:rPr>
              <w:t xml:space="preserve"> </w:t>
            </w:r>
            <w:r>
              <w:rPr>
                <w:rFonts w:ascii="Wingdings" w:hAnsi="Wingdings"/>
                <w:sz w:val="18"/>
              </w:rPr>
              <w:t></w:t>
            </w:r>
            <w:r>
              <w:rPr>
                <w:sz w:val="18"/>
              </w:rPr>
              <w:tab/>
              <w:t>Patient avec assistance de l'équipe</w:t>
            </w:r>
            <w:r>
              <w:rPr>
                <w:spacing w:val="-3"/>
                <w:sz w:val="18"/>
              </w:rPr>
              <w:t xml:space="preserve"> </w:t>
            </w:r>
            <w:r>
              <w:rPr>
                <w:sz w:val="18"/>
              </w:rPr>
              <w:t>palliative.</w:t>
            </w:r>
          </w:p>
          <w:p w:rsidR="00717B24" w:rsidRDefault="005B2C78">
            <w:pPr>
              <w:pStyle w:val="TableParagraph"/>
              <w:ind w:left="1819" w:right="3720"/>
              <w:rPr>
                <w:sz w:val="18"/>
              </w:rPr>
            </w:pPr>
            <w:r>
              <w:rPr>
                <w:sz w:val="18"/>
              </w:rPr>
              <w:t>Nom d'une équipe ou, le cas échéant, du réseau. Date de la première assistance.</w:t>
            </w:r>
          </w:p>
          <w:p w:rsidR="00717B24" w:rsidRDefault="005B2C78">
            <w:pPr>
              <w:pStyle w:val="TableParagraph"/>
              <w:tabs>
                <w:tab w:val="left" w:pos="1819"/>
              </w:tabs>
              <w:ind w:left="1819" w:right="408" w:hanging="1134"/>
              <w:rPr>
                <w:sz w:val="18"/>
              </w:rPr>
            </w:pPr>
            <w:r>
              <w:rPr>
                <w:sz w:val="18"/>
              </w:rPr>
              <w:t xml:space="preserve">soit(1) </w:t>
            </w:r>
            <w:r>
              <w:rPr>
                <w:spacing w:val="5"/>
                <w:sz w:val="18"/>
              </w:rPr>
              <w:t xml:space="preserve"> </w:t>
            </w:r>
            <w:r>
              <w:rPr>
                <w:rFonts w:ascii="Wingdings" w:hAnsi="Wingdings"/>
                <w:sz w:val="18"/>
              </w:rPr>
              <w:t></w:t>
            </w:r>
            <w:r>
              <w:rPr>
                <w:sz w:val="18"/>
              </w:rPr>
              <w:tab/>
              <w:t>Patient sans assistance de l'équipe palliative, uniquement assisté par les dispensateurs de soins habituels qui s'engagent à réaliser la totalité des soins palliatifs de façon</w:t>
            </w:r>
            <w:r>
              <w:rPr>
                <w:spacing w:val="-15"/>
                <w:sz w:val="18"/>
              </w:rPr>
              <w:t xml:space="preserve"> </w:t>
            </w:r>
            <w:r>
              <w:rPr>
                <w:sz w:val="18"/>
              </w:rPr>
              <w:t>compétente.</w:t>
            </w:r>
          </w:p>
          <w:p w:rsidR="00717B24" w:rsidRDefault="005B2C78">
            <w:pPr>
              <w:pStyle w:val="TableParagraph"/>
              <w:ind w:left="118" w:right="401"/>
              <w:rPr>
                <w:sz w:val="18"/>
              </w:rPr>
            </w:pPr>
            <w:r>
              <w:rPr>
                <w:sz w:val="18"/>
              </w:rPr>
              <w:t>La continuité des soins médicaux organisés par le médecin de famille, aussi durant les heures de garde et le week-end (remplacement éclairé) est assurée. Chaque semaine il doit y avoir une réunion interdisciplinaire avec au moins le médecin de famille. Un plan de soins formel et/ou un cahier de communication sont tenus à jour. Après le décès du patient, le médecin de famille garde ces documents dans le dossier du patient.</w:t>
            </w:r>
          </w:p>
          <w:p w:rsidR="00717B24" w:rsidRDefault="00717B24">
            <w:pPr>
              <w:pStyle w:val="TableParagraph"/>
              <w:rPr>
                <w:b/>
                <w:sz w:val="18"/>
              </w:rPr>
            </w:pPr>
          </w:p>
          <w:p w:rsidR="00717B24" w:rsidRDefault="005B2C78">
            <w:pPr>
              <w:pStyle w:val="TableParagraph"/>
              <w:ind w:left="118"/>
              <w:rPr>
                <w:sz w:val="18"/>
              </w:rPr>
            </w:pPr>
            <w:r>
              <w:rPr>
                <w:sz w:val="18"/>
              </w:rPr>
              <w:t>Il est satisfait à 2 des 3 conditions mentionnées ci-après(2):</w:t>
            </w:r>
          </w:p>
          <w:p w:rsidR="00717B24" w:rsidRDefault="005B2C78">
            <w:pPr>
              <w:pStyle w:val="TableParagraph"/>
              <w:numPr>
                <w:ilvl w:val="0"/>
                <w:numId w:val="2"/>
              </w:numPr>
              <w:tabs>
                <w:tab w:val="left" w:pos="1252"/>
                <w:tab w:val="left" w:pos="1253"/>
                <w:tab w:val="left" w:pos="1819"/>
              </w:tabs>
              <w:spacing w:line="207" w:lineRule="exact"/>
              <w:ind w:hanging="568"/>
              <w:rPr>
                <w:sz w:val="18"/>
              </w:rPr>
            </w:pPr>
            <w:r>
              <w:rPr>
                <w:rFonts w:ascii="Arial" w:hAnsi="Arial"/>
                <w:sz w:val="18"/>
              </w:rPr>
              <w:t>¬</w:t>
            </w:r>
            <w:r>
              <w:rPr>
                <w:rFonts w:ascii="Arial" w:hAnsi="Arial"/>
                <w:sz w:val="18"/>
              </w:rPr>
              <w:tab/>
            </w:r>
            <w:r>
              <w:rPr>
                <w:sz w:val="18"/>
              </w:rPr>
              <w:t>Assistance et surveillance permanentes, concrétisées par une ou plusieurs des modalités</w:t>
            </w:r>
            <w:r>
              <w:rPr>
                <w:spacing w:val="-22"/>
                <w:sz w:val="18"/>
              </w:rPr>
              <w:t xml:space="preserve"> </w:t>
            </w:r>
            <w:r>
              <w:rPr>
                <w:sz w:val="18"/>
              </w:rPr>
              <w:t>suivantes:</w:t>
            </w:r>
          </w:p>
          <w:p w:rsidR="00717B24" w:rsidRDefault="005B2C78">
            <w:pPr>
              <w:pStyle w:val="TableParagraph"/>
              <w:numPr>
                <w:ilvl w:val="1"/>
                <w:numId w:val="2"/>
              </w:numPr>
              <w:tabs>
                <w:tab w:val="left" w:pos="1819"/>
                <w:tab w:val="left" w:pos="1821"/>
                <w:tab w:val="left" w:pos="2386"/>
              </w:tabs>
              <w:spacing w:line="207" w:lineRule="exact"/>
              <w:ind w:left="1820" w:hanging="569"/>
              <w:rPr>
                <w:sz w:val="18"/>
              </w:rPr>
            </w:pPr>
            <w:r>
              <w:rPr>
                <w:sz w:val="18"/>
              </w:rPr>
              <w:t>a)</w:t>
            </w:r>
            <w:r>
              <w:rPr>
                <w:sz w:val="18"/>
              </w:rPr>
              <w:tab/>
              <w:t>une personne de</w:t>
            </w:r>
            <w:r>
              <w:rPr>
                <w:spacing w:val="-3"/>
                <w:sz w:val="18"/>
              </w:rPr>
              <w:t xml:space="preserve"> </w:t>
            </w:r>
            <w:r>
              <w:rPr>
                <w:sz w:val="18"/>
              </w:rPr>
              <w:t>l'entourage</w:t>
            </w:r>
          </w:p>
          <w:p w:rsidR="00717B24" w:rsidRDefault="005B2C78">
            <w:pPr>
              <w:pStyle w:val="TableParagraph"/>
              <w:numPr>
                <w:ilvl w:val="1"/>
                <w:numId w:val="2"/>
              </w:numPr>
              <w:tabs>
                <w:tab w:val="left" w:pos="1819"/>
                <w:tab w:val="left" w:pos="1821"/>
                <w:tab w:val="left" w:pos="2386"/>
              </w:tabs>
              <w:spacing w:before="1" w:line="207" w:lineRule="exact"/>
              <w:ind w:left="1820" w:hanging="569"/>
              <w:rPr>
                <w:sz w:val="18"/>
              </w:rPr>
            </w:pPr>
            <w:r>
              <w:rPr>
                <w:sz w:val="18"/>
              </w:rPr>
              <w:t>b)</w:t>
            </w:r>
            <w:r>
              <w:rPr>
                <w:sz w:val="18"/>
              </w:rPr>
              <w:tab/>
              <w:t>congé palliatif demandé par</w:t>
            </w:r>
            <w:r>
              <w:rPr>
                <w:spacing w:val="-7"/>
                <w:sz w:val="18"/>
              </w:rPr>
              <w:t xml:space="preserve"> </w:t>
            </w:r>
            <w:r>
              <w:rPr>
                <w:sz w:val="18"/>
              </w:rPr>
              <w:t>...</w:t>
            </w:r>
          </w:p>
          <w:p w:rsidR="00717B24" w:rsidRDefault="005B2C78">
            <w:pPr>
              <w:pStyle w:val="TableParagraph"/>
              <w:spacing w:line="207" w:lineRule="exact"/>
              <w:ind w:left="2386"/>
              <w:rPr>
                <w:sz w:val="18"/>
              </w:rPr>
            </w:pPr>
            <w:r>
              <w:rPr>
                <w:sz w:val="18"/>
              </w:rPr>
              <w:t>relation, avec le patient: ...</w:t>
            </w:r>
          </w:p>
          <w:p w:rsidR="00717B24" w:rsidRDefault="005B2C78">
            <w:pPr>
              <w:pStyle w:val="TableParagraph"/>
              <w:numPr>
                <w:ilvl w:val="1"/>
                <w:numId w:val="2"/>
              </w:numPr>
              <w:tabs>
                <w:tab w:val="left" w:pos="1819"/>
                <w:tab w:val="left" w:pos="1821"/>
                <w:tab w:val="left" w:pos="2386"/>
              </w:tabs>
              <w:spacing w:before="1"/>
              <w:ind w:left="2407" w:right="374" w:hanging="1156"/>
              <w:rPr>
                <w:sz w:val="18"/>
              </w:rPr>
            </w:pPr>
            <w:r>
              <w:rPr>
                <w:sz w:val="18"/>
              </w:rPr>
              <w:t>c)</w:t>
            </w:r>
            <w:r>
              <w:rPr>
                <w:sz w:val="18"/>
              </w:rPr>
              <w:tab/>
              <w:t>appel à la surveillance par l'entourage complémentaire, éventuellement des volontaires recyclés par des instances</w:t>
            </w:r>
            <w:r>
              <w:rPr>
                <w:spacing w:val="-3"/>
                <w:sz w:val="18"/>
              </w:rPr>
              <w:t xml:space="preserve"> </w:t>
            </w:r>
            <w:r>
              <w:rPr>
                <w:sz w:val="18"/>
              </w:rPr>
              <w:t>agréées</w:t>
            </w:r>
          </w:p>
          <w:p w:rsidR="00717B24" w:rsidRDefault="005B2C78">
            <w:pPr>
              <w:pStyle w:val="TableParagraph"/>
              <w:numPr>
                <w:ilvl w:val="1"/>
                <w:numId w:val="2"/>
              </w:numPr>
              <w:tabs>
                <w:tab w:val="left" w:pos="1819"/>
                <w:tab w:val="left" w:pos="1821"/>
                <w:tab w:val="left" w:pos="2386"/>
              </w:tabs>
              <w:spacing w:line="207" w:lineRule="exact"/>
              <w:ind w:left="1820" w:hanging="569"/>
              <w:rPr>
                <w:sz w:val="18"/>
              </w:rPr>
            </w:pPr>
            <w:r>
              <w:rPr>
                <w:sz w:val="18"/>
              </w:rPr>
              <w:t>d)</w:t>
            </w:r>
            <w:r>
              <w:rPr>
                <w:sz w:val="18"/>
              </w:rPr>
              <w:tab/>
              <w:t>aide</w:t>
            </w:r>
            <w:r>
              <w:rPr>
                <w:spacing w:val="-2"/>
                <w:sz w:val="18"/>
              </w:rPr>
              <w:t xml:space="preserve"> </w:t>
            </w:r>
            <w:r>
              <w:rPr>
                <w:sz w:val="18"/>
              </w:rPr>
              <w:t>familiale</w:t>
            </w:r>
          </w:p>
          <w:p w:rsidR="00717B24" w:rsidRDefault="005B2C78">
            <w:pPr>
              <w:pStyle w:val="TableParagraph"/>
              <w:numPr>
                <w:ilvl w:val="2"/>
                <w:numId w:val="2"/>
              </w:numPr>
              <w:tabs>
                <w:tab w:val="left" w:pos="2953"/>
                <w:tab w:val="left" w:pos="2954"/>
              </w:tabs>
              <w:spacing w:line="207" w:lineRule="exact"/>
              <w:rPr>
                <w:sz w:val="18"/>
              </w:rPr>
            </w:pPr>
            <w:r>
              <w:rPr>
                <w:sz w:val="18"/>
              </w:rPr>
              <w:t>prise en charge de</w:t>
            </w:r>
            <w:r>
              <w:rPr>
                <w:spacing w:val="-9"/>
                <w:sz w:val="18"/>
              </w:rPr>
              <w:t xml:space="preserve"> </w:t>
            </w:r>
            <w:r>
              <w:rPr>
                <w:sz w:val="18"/>
              </w:rPr>
              <w:t>jour;</w:t>
            </w:r>
          </w:p>
          <w:p w:rsidR="00717B24" w:rsidRDefault="005B2C78">
            <w:pPr>
              <w:pStyle w:val="TableParagraph"/>
              <w:numPr>
                <w:ilvl w:val="2"/>
                <w:numId w:val="2"/>
              </w:numPr>
              <w:tabs>
                <w:tab w:val="left" w:pos="2953"/>
                <w:tab w:val="left" w:pos="2954"/>
              </w:tabs>
              <w:spacing w:line="207" w:lineRule="exact"/>
              <w:rPr>
                <w:sz w:val="18"/>
              </w:rPr>
            </w:pPr>
            <w:r>
              <w:rPr>
                <w:sz w:val="18"/>
              </w:rPr>
              <w:t>prise en charge de</w:t>
            </w:r>
            <w:r>
              <w:rPr>
                <w:spacing w:val="-8"/>
                <w:sz w:val="18"/>
              </w:rPr>
              <w:t xml:space="preserve"> </w:t>
            </w:r>
            <w:r>
              <w:rPr>
                <w:sz w:val="18"/>
              </w:rPr>
              <w:t>nuit;</w:t>
            </w:r>
          </w:p>
          <w:p w:rsidR="00717B24" w:rsidRDefault="005B2C78">
            <w:pPr>
              <w:pStyle w:val="TableParagraph"/>
              <w:numPr>
                <w:ilvl w:val="2"/>
                <w:numId w:val="2"/>
              </w:numPr>
              <w:tabs>
                <w:tab w:val="left" w:pos="2953"/>
                <w:tab w:val="left" w:pos="2954"/>
              </w:tabs>
              <w:spacing w:line="207" w:lineRule="exact"/>
              <w:rPr>
                <w:sz w:val="18"/>
              </w:rPr>
            </w:pPr>
            <w:r>
              <w:rPr>
                <w:sz w:val="18"/>
              </w:rPr>
              <w:t>accueil pendant le</w:t>
            </w:r>
            <w:r>
              <w:rPr>
                <w:spacing w:val="-2"/>
                <w:sz w:val="18"/>
              </w:rPr>
              <w:t xml:space="preserve"> </w:t>
            </w:r>
            <w:r>
              <w:rPr>
                <w:sz w:val="18"/>
              </w:rPr>
              <w:t>week-end.</w:t>
            </w:r>
          </w:p>
          <w:p w:rsidR="00717B24" w:rsidRDefault="005B2C78">
            <w:pPr>
              <w:pStyle w:val="TableParagraph"/>
              <w:numPr>
                <w:ilvl w:val="0"/>
                <w:numId w:val="2"/>
              </w:numPr>
              <w:tabs>
                <w:tab w:val="left" w:pos="1252"/>
                <w:tab w:val="left" w:pos="1253"/>
                <w:tab w:val="left" w:pos="1819"/>
              </w:tabs>
              <w:spacing w:before="1" w:line="207" w:lineRule="exact"/>
              <w:ind w:hanging="568"/>
              <w:rPr>
                <w:sz w:val="18"/>
              </w:rPr>
            </w:pPr>
            <w:r>
              <w:rPr>
                <w:rFonts w:ascii="Arial" w:hAnsi="Arial"/>
                <w:sz w:val="18"/>
              </w:rPr>
              <w:t>□</w:t>
            </w:r>
            <w:r>
              <w:rPr>
                <w:rFonts w:ascii="Arial" w:hAnsi="Arial"/>
                <w:sz w:val="18"/>
              </w:rPr>
              <w:tab/>
            </w:r>
            <w:r>
              <w:rPr>
                <w:sz w:val="18"/>
              </w:rPr>
              <w:t>Besoin d'au moins 2 des 5 éléments mentionnés</w:t>
            </w:r>
            <w:r>
              <w:rPr>
                <w:spacing w:val="-4"/>
                <w:sz w:val="18"/>
              </w:rPr>
              <w:t xml:space="preserve"> </w:t>
            </w:r>
            <w:r>
              <w:rPr>
                <w:sz w:val="18"/>
              </w:rPr>
              <w:t>ci-après(3):</w:t>
            </w:r>
          </w:p>
          <w:p w:rsidR="00717B24" w:rsidRDefault="005B2C78">
            <w:pPr>
              <w:pStyle w:val="TableParagraph"/>
              <w:numPr>
                <w:ilvl w:val="1"/>
                <w:numId w:val="2"/>
              </w:numPr>
              <w:tabs>
                <w:tab w:val="left" w:pos="1819"/>
                <w:tab w:val="left" w:pos="1821"/>
                <w:tab w:val="left" w:pos="2386"/>
              </w:tabs>
              <w:ind w:right="99" w:hanging="1156"/>
              <w:rPr>
                <w:sz w:val="18"/>
              </w:rPr>
            </w:pPr>
            <w:r>
              <w:rPr>
                <w:sz w:val="18"/>
              </w:rPr>
              <w:t>a)</w:t>
            </w:r>
            <w:r>
              <w:rPr>
                <w:sz w:val="18"/>
              </w:rPr>
              <w:tab/>
              <w:t>médicaments palliatifs spécifiques (analgésiques, antidépresseurs, sédatifs, corticoïdes, antiémétiques,</w:t>
            </w:r>
            <w:r>
              <w:rPr>
                <w:spacing w:val="-1"/>
                <w:sz w:val="18"/>
              </w:rPr>
              <w:t xml:space="preserve"> </w:t>
            </w:r>
            <w:r>
              <w:rPr>
                <w:sz w:val="18"/>
              </w:rPr>
              <w:t>laxatifs);</w:t>
            </w:r>
          </w:p>
          <w:p w:rsidR="00717B24" w:rsidRDefault="005B2C78">
            <w:pPr>
              <w:pStyle w:val="TableParagraph"/>
              <w:numPr>
                <w:ilvl w:val="1"/>
                <w:numId w:val="2"/>
              </w:numPr>
              <w:tabs>
                <w:tab w:val="left" w:pos="1819"/>
                <w:tab w:val="left" w:pos="1821"/>
                <w:tab w:val="left" w:pos="2386"/>
              </w:tabs>
              <w:spacing w:line="207" w:lineRule="exact"/>
              <w:ind w:left="1820" w:hanging="569"/>
              <w:rPr>
                <w:sz w:val="18"/>
              </w:rPr>
            </w:pPr>
            <w:r>
              <w:rPr>
                <w:sz w:val="18"/>
              </w:rPr>
              <w:t>b)</w:t>
            </w:r>
            <w:r>
              <w:rPr>
                <w:sz w:val="18"/>
              </w:rPr>
              <w:tab/>
              <w:t>matériel de soins (matériel d'incontinence, matériel de soins de plaies/de soins de</w:t>
            </w:r>
            <w:r>
              <w:rPr>
                <w:spacing w:val="-25"/>
                <w:sz w:val="18"/>
              </w:rPr>
              <w:t xml:space="preserve"> </w:t>
            </w:r>
            <w:r>
              <w:rPr>
                <w:sz w:val="18"/>
              </w:rPr>
              <w:t>stomie);</w:t>
            </w:r>
          </w:p>
          <w:p w:rsidR="00717B24" w:rsidRDefault="005B2C78">
            <w:pPr>
              <w:pStyle w:val="TableParagraph"/>
              <w:numPr>
                <w:ilvl w:val="1"/>
                <w:numId w:val="2"/>
              </w:numPr>
              <w:tabs>
                <w:tab w:val="left" w:pos="1819"/>
                <w:tab w:val="left" w:pos="1821"/>
                <w:tab w:val="left" w:pos="2386"/>
              </w:tabs>
              <w:spacing w:line="207" w:lineRule="exact"/>
              <w:ind w:left="1820" w:hanging="569"/>
              <w:rPr>
                <w:sz w:val="18"/>
              </w:rPr>
            </w:pPr>
            <w:r>
              <w:rPr>
                <w:sz w:val="18"/>
              </w:rPr>
              <w:t>c)</w:t>
            </w:r>
            <w:r>
              <w:rPr>
                <w:sz w:val="18"/>
              </w:rPr>
              <w:tab/>
              <w:t>dispositifs (matelas, lit d'hôpital, chaise percée et</w:t>
            </w:r>
            <w:r>
              <w:rPr>
                <w:spacing w:val="-5"/>
                <w:sz w:val="18"/>
              </w:rPr>
              <w:t xml:space="preserve"> </w:t>
            </w:r>
            <w:r>
              <w:rPr>
                <w:sz w:val="18"/>
              </w:rPr>
              <w:t>accessoires);</w:t>
            </w:r>
          </w:p>
          <w:p w:rsidR="00717B24" w:rsidRDefault="005B2C78">
            <w:pPr>
              <w:pStyle w:val="TableParagraph"/>
              <w:numPr>
                <w:ilvl w:val="1"/>
                <w:numId w:val="2"/>
              </w:numPr>
              <w:tabs>
                <w:tab w:val="left" w:pos="1819"/>
                <w:tab w:val="left" w:pos="1821"/>
                <w:tab w:val="left" w:pos="2386"/>
              </w:tabs>
              <w:spacing w:before="1" w:line="207" w:lineRule="exact"/>
              <w:ind w:left="1820" w:hanging="569"/>
              <w:rPr>
                <w:sz w:val="18"/>
              </w:rPr>
            </w:pPr>
            <w:r>
              <w:rPr>
                <w:sz w:val="18"/>
              </w:rPr>
              <w:t>d)</w:t>
            </w:r>
            <w:r>
              <w:rPr>
                <w:sz w:val="18"/>
              </w:rPr>
              <w:tab/>
              <w:t>pousse-seringues ou pompe</w:t>
            </w:r>
            <w:r>
              <w:rPr>
                <w:spacing w:val="-1"/>
                <w:sz w:val="18"/>
              </w:rPr>
              <w:t xml:space="preserve"> </w:t>
            </w:r>
            <w:proofErr w:type="spellStart"/>
            <w:r>
              <w:rPr>
                <w:sz w:val="18"/>
              </w:rPr>
              <w:t>anti-douleur</w:t>
            </w:r>
            <w:proofErr w:type="spellEnd"/>
            <w:r>
              <w:rPr>
                <w:sz w:val="18"/>
              </w:rPr>
              <w:t>;</w:t>
            </w:r>
          </w:p>
          <w:p w:rsidR="00717B24" w:rsidRDefault="005B2C78">
            <w:pPr>
              <w:pStyle w:val="TableParagraph"/>
              <w:numPr>
                <w:ilvl w:val="1"/>
                <w:numId w:val="2"/>
              </w:numPr>
              <w:tabs>
                <w:tab w:val="left" w:pos="1819"/>
                <w:tab w:val="left" w:pos="1821"/>
                <w:tab w:val="left" w:pos="2385"/>
              </w:tabs>
              <w:spacing w:line="207" w:lineRule="exact"/>
              <w:ind w:left="1820" w:hanging="569"/>
              <w:rPr>
                <w:sz w:val="18"/>
              </w:rPr>
            </w:pPr>
            <w:r>
              <w:rPr>
                <w:sz w:val="18"/>
              </w:rPr>
              <w:t>e)</w:t>
            </w:r>
            <w:r>
              <w:rPr>
                <w:sz w:val="18"/>
              </w:rPr>
              <w:tab/>
              <w:t>soins psychosociaux journaliers pour la</w:t>
            </w:r>
            <w:r>
              <w:rPr>
                <w:spacing w:val="-3"/>
                <w:sz w:val="18"/>
              </w:rPr>
              <w:t xml:space="preserve"> </w:t>
            </w:r>
            <w:r>
              <w:rPr>
                <w:sz w:val="18"/>
              </w:rPr>
              <w:t>famille.</w:t>
            </w:r>
          </w:p>
          <w:p w:rsidR="00717B24" w:rsidRDefault="005B2C78">
            <w:pPr>
              <w:pStyle w:val="TableParagraph"/>
              <w:tabs>
                <w:tab w:val="left" w:pos="1558"/>
                <w:tab w:val="left" w:pos="2278"/>
              </w:tabs>
              <w:spacing w:before="3"/>
              <w:ind w:left="118" w:right="284" w:firstLine="719"/>
            </w:pPr>
            <w:r>
              <w:t>◘</w:t>
            </w:r>
            <w:r>
              <w:tab/>
            </w:r>
            <w:r>
              <w:rPr>
                <w:rFonts w:ascii="Arial" w:hAnsi="Arial"/>
              </w:rPr>
              <w:t>®</w:t>
            </w:r>
            <w:r>
              <w:rPr>
                <w:rFonts w:ascii="Arial" w:hAnsi="Arial"/>
              </w:rPr>
              <w:tab/>
            </w:r>
            <w:r>
              <w:t>Surveillance quotidienne ou soins quotidiens par un praticien de l'art infirmier pour un patient dépendant au moins pour se laver et s'habiller, pour se déplacer et aller</w:t>
            </w:r>
            <w:r>
              <w:rPr>
                <w:spacing w:val="-20"/>
              </w:rPr>
              <w:t xml:space="preserve"> </w:t>
            </w:r>
            <w:r>
              <w:t>à la toilette, pour incontinence et/ou pour manger. (La dépendance implique au moins un score de niveau 3 sur l'échelle de Katz pour chaque groupe de</w:t>
            </w:r>
            <w:r>
              <w:rPr>
                <w:spacing w:val="-5"/>
              </w:rPr>
              <w:t xml:space="preserve"> </w:t>
            </w:r>
            <w:r>
              <w:t>dépendance).</w:t>
            </w:r>
          </w:p>
          <w:p w:rsidR="00717B24" w:rsidRDefault="005B2C78">
            <w:pPr>
              <w:pStyle w:val="TableParagraph"/>
              <w:tabs>
                <w:tab w:val="left" w:pos="4654"/>
              </w:tabs>
              <w:spacing w:before="204"/>
              <w:ind w:left="4654" w:right="3849" w:hanging="4536"/>
              <w:rPr>
                <w:sz w:val="18"/>
              </w:rPr>
            </w:pPr>
            <w:r>
              <w:rPr>
                <w:sz w:val="18"/>
              </w:rPr>
              <w:t>Signature du médecin</w:t>
            </w:r>
            <w:r>
              <w:rPr>
                <w:spacing w:val="-3"/>
                <w:sz w:val="18"/>
              </w:rPr>
              <w:t xml:space="preserve"> </w:t>
            </w:r>
            <w:r>
              <w:rPr>
                <w:sz w:val="18"/>
              </w:rPr>
              <w:t>de</w:t>
            </w:r>
            <w:r>
              <w:rPr>
                <w:spacing w:val="-2"/>
                <w:sz w:val="18"/>
              </w:rPr>
              <w:t xml:space="preserve"> </w:t>
            </w:r>
            <w:r>
              <w:rPr>
                <w:sz w:val="18"/>
              </w:rPr>
              <w:t>famille</w:t>
            </w:r>
            <w:r>
              <w:rPr>
                <w:sz w:val="18"/>
              </w:rPr>
              <w:tab/>
              <w:t>Date Cachet</w:t>
            </w:r>
          </w:p>
          <w:p w:rsidR="00717B24" w:rsidRDefault="00717B24">
            <w:pPr>
              <w:pStyle w:val="TableParagraph"/>
              <w:rPr>
                <w:b/>
                <w:sz w:val="18"/>
              </w:rPr>
            </w:pPr>
          </w:p>
          <w:p w:rsidR="00717B24" w:rsidRDefault="005B2C78">
            <w:pPr>
              <w:pStyle w:val="TableParagraph"/>
              <w:numPr>
                <w:ilvl w:val="0"/>
                <w:numId w:val="1"/>
              </w:numPr>
              <w:tabs>
                <w:tab w:val="left" w:pos="375"/>
              </w:tabs>
              <w:spacing w:line="207" w:lineRule="exact"/>
              <w:ind w:hanging="257"/>
              <w:rPr>
                <w:sz w:val="18"/>
              </w:rPr>
            </w:pPr>
            <w:r>
              <w:rPr>
                <w:sz w:val="18"/>
              </w:rPr>
              <w:t>Indiquer une des deux</w:t>
            </w:r>
            <w:r>
              <w:rPr>
                <w:spacing w:val="-4"/>
                <w:sz w:val="18"/>
              </w:rPr>
              <w:t xml:space="preserve"> </w:t>
            </w:r>
            <w:r>
              <w:rPr>
                <w:sz w:val="18"/>
              </w:rPr>
              <w:t>possibilités.</w:t>
            </w:r>
          </w:p>
          <w:p w:rsidR="00717B24" w:rsidRDefault="005B2C78">
            <w:pPr>
              <w:pStyle w:val="TableParagraph"/>
              <w:numPr>
                <w:ilvl w:val="0"/>
                <w:numId w:val="1"/>
              </w:numPr>
              <w:tabs>
                <w:tab w:val="left" w:pos="375"/>
              </w:tabs>
              <w:spacing w:line="207" w:lineRule="exact"/>
              <w:ind w:hanging="257"/>
              <w:rPr>
                <w:sz w:val="18"/>
              </w:rPr>
            </w:pPr>
            <w:r>
              <w:rPr>
                <w:sz w:val="18"/>
              </w:rPr>
              <w:t>Désigner deux des trois conditions et compléter</w:t>
            </w:r>
            <w:r>
              <w:rPr>
                <w:spacing w:val="-2"/>
                <w:sz w:val="18"/>
              </w:rPr>
              <w:t xml:space="preserve"> </w:t>
            </w:r>
            <w:r>
              <w:rPr>
                <w:sz w:val="18"/>
              </w:rPr>
              <w:t>éventuellement.</w:t>
            </w:r>
          </w:p>
          <w:p w:rsidR="00717B24" w:rsidRDefault="005B2C78">
            <w:pPr>
              <w:pStyle w:val="TableParagraph"/>
              <w:numPr>
                <w:ilvl w:val="0"/>
                <w:numId w:val="1"/>
              </w:numPr>
              <w:tabs>
                <w:tab w:val="left" w:pos="374"/>
                <w:tab w:val="left" w:pos="7754"/>
              </w:tabs>
              <w:spacing w:before="1" w:line="191" w:lineRule="exact"/>
              <w:ind w:left="373"/>
              <w:rPr>
                <w:sz w:val="18"/>
              </w:rPr>
            </w:pPr>
            <w:r>
              <w:rPr>
                <w:sz w:val="18"/>
              </w:rPr>
              <w:t>Cocher au moins deux des</w:t>
            </w:r>
            <w:r>
              <w:rPr>
                <w:spacing w:val="-4"/>
                <w:sz w:val="18"/>
              </w:rPr>
              <w:t xml:space="preserve"> </w:t>
            </w:r>
            <w:r>
              <w:rPr>
                <w:sz w:val="18"/>
              </w:rPr>
              <w:t>cinq éléments.</w:t>
            </w:r>
            <w:r>
              <w:rPr>
                <w:sz w:val="18"/>
              </w:rPr>
              <w:tab/>
              <w:t>voir verso</w:t>
            </w:r>
            <w:r>
              <w:rPr>
                <w:spacing w:val="-2"/>
                <w:sz w:val="18"/>
              </w:rPr>
              <w:t xml:space="preserve"> </w:t>
            </w:r>
            <w:r>
              <w:rPr>
                <w:sz w:val="18"/>
              </w:rPr>
              <w:t>s.v.p.</w:t>
            </w:r>
          </w:p>
        </w:tc>
      </w:tr>
    </w:tbl>
    <w:p w:rsidR="00466AAC" w:rsidRDefault="00466AAC">
      <w:pPr>
        <w:spacing w:line="191" w:lineRule="exact"/>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Pr="00466AAC" w:rsidRDefault="00466AAC" w:rsidP="00466AAC">
      <w:pPr>
        <w:rPr>
          <w:sz w:val="18"/>
        </w:rPr>
      </w:pPr>
    </w:p>
    <w:p w:rsidR="00466AAC" w:rsidRDefault="00466AAC" w:rsidP="00466AAC">
      <w:pPr>
        <w:rPr>
          <w:sz w:val="18"/>
        </w:rPr>
      </w:pPr>
    </w:p>
    <w:p w:rsidR="00466AAC" w:rsidRPr="00466AAC" w:rsidRDefault="00466AAC" w:rsidP="00466AAC">
      <w:pPr>
        <w:rPr>
          <w:sz w:val="18"/>
        </w:rPr>
      </w:pPr>
    </w:p>
    <w:p w:rsidR="00717B24" w:rsidRPr="00466AAC" w:rsidRDefault="00717B24" w:rsidP="00466AAC">
      <w:pPr>
        <w:tabs>
          <w:tab w:val="center" w:pos="4635"/>
        </w:tabs>
        <w:rPr>
          <w:sz w:val="18"/>
        </w:rPr>
        <w:sectPr w:rsidR="00717B24" w:rsidRPr="00466AAC" w:rsidSect="00A90B23">
          <w:headerReference w:type="default" r:id="rId7"/>
          <w:headerReference w:type="first" r:id="rId8"/>
          <w:footerReference w:type="first" r:id="rId9"/>
          <w:type w:val="continuous"/>
          <w:pgSz w:w="11910" w:h="16840"/>
          <w:pgMar w:top="1360" w:right="1320" w:bottom="280" w:left="1320" w:header="720" w:footer="720" w:gutter="0"/>
          <w:cols w:space="720"/>
          <w:titlePg/>
          <w:docGrid w:linePitch="299"/>
        </w:sectPr>
      </w:pP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026"/>
      </w:tblGrid>
      <w:tr w:rsidR="00717B24">
        <w:trPr>
          <w:trHeight w:val="6966"/>
        </w:trPr>
        <w:tc>
          <w:tcPr>
            <w:tcW w:w="9026" w:type="dxa"/>
          </w:tcPr>
          <w:p w:rsidR="00717B24" w:rsidRDefault="005B2C78">
            <w:pPr>
              <w:pStyle w:val="TableParagraph"/>
              <w:spacing w:before="83"/>
              <w:ind w:left="118" w:right="295"/>
              <w:rPr>
                <w:sz w:val="18"/>
              </w:rPr>
            </w:pPr>
            <w:r>
              <w:rPr>
                <w:sz w:val="18"/>
              </w:rPr>
              <w:lastRenderedPageBreak/>
              <w:t>Conditions auxquelles le patient palliatif à domicile doit répondre pour entrer en ligne de compte pour une intervention forfaitaire de l'assurance obligatoire soins de santé pour les médicaments, le matériel de soins et les auxiliaires.</w:t>
            </w:r>
          </w:p>
          <w:p w:rsidR="00717B24" w:rsidRDefault="00717B24">
            <w:pPr>
              <w:pStyle w:val="TableParagraph"/>
              <w:rPr>
                <w:b/>
                <w:sz w:val="20"/>
              </w:rPr>
            </w:pPr>
          </w:p>
          <w:p w:rsidR="00717B24" w:rsidRDefault="00717B24">
            <w:pPr>
              <w:pStyle w:val="TableParagraph"/>
              <w:rPr>
                <w:b/>
                <w:sz w:val="16"/>
              </w:rPr>
            </w:pPr>
          </w:p>
          <w:p w:rsidR="00717B24" w:rsidRDefault="005B2C78">
            <w:pPr>
              <w:pStyle w:val="TableParagraph"/>
              <w:ind w:left="118"/>
              <w:rPr>
                <w:sz w:val="18"/>
              </w:rPr>
            </w:pPr>
            <w:r>
              <w:rPr>
                <w:sz w:val="18"/>
              </w:rPr>
              <w:t>Il doit s'agir d'un patient:</w:t>
            </w:r>
          </w:p>
          <w:p w:rsidR="00717B24" w:rsidRDefault="00717B24">
            <w:pPr>
              <w:pStyle w:val="TableParagraph"/>
              <w:rPr>
                <w:b/>
                <w:sz w:val="20"/>
              </w:rPr>
            </w:pPr>
          </w:p>
          <w:p w:rsidR="00717B24" w:rsidRDefault="00717B24">
            <w:pPr>
              <w:pStyle w:val="TableParagraph"/>
              <w:rPr>
                <w:b/>
                <w:sz w:val="16"/>
              </w:rPr>
            </w:pPr>
          </w:p>
          <w:p w:rsidR="00717B24" w:rsidRDefault="005B2C78">
            <w:pPr>
              <w:pStyle w:val="TableParagraph"/>
              <w:tabs>
                <w:tab w:val="left" w:pos="685"/>
              </w:tabs>
              <w:ind w:left="118"/>
              <w:rPr>
                <w:sz w:val="18"/>
              </w:rPr>
            </w:pPr>
            <w:r>
              <w:rPr>
                <w:sz w:val="18"/>
              </w:rPr>
              <w:t>1</w:t>
            </w:r>
            <w:r>
              <w:rPr>
                <w:rFonts w:ascii="Symbol" w:hAnsi="Symbol"/>
                <w:sz w:val="18"/>
              </w:rPr>
              <w:t></w:t>
            </w:r>
            <w:r>
              <w:rPr>
                <w:sz w:val="18"/>
              </w:rPr>
              <w:tab/>
              <w:t>qui souffre d'une ou plusieurs affections</w:t>
            </w:r>
            <w:r>
              <w:rPr>
                <w:spacing w:val="-1"/>
                <w:sz w:val="18"/>
              </w:rPr>
              <w:t xml:space="preserve"> </w:t>
            </w:r>
            <w:r>
              <w:rPr>
                <w:sz w:val="18"/>
              </w:rPr>
              <w:t>irréversibles;</w:t>
            </w:r>
          </w:p>
          <w:p w:rsidR="00717B24" w:rsidRDefault="00717B24">
            <w:pPr>
              <w:pStyle w:val="TableParagraph"/>
              <w:rPr>
                <w:b/>
              </w:rPr>
            </w:pPr>
          </w:p>
          <w:p w:rsidR="00717B24" w:rsidRDefault="005B2C78">
            <w:pPr>
              <w:pStyle w:val="TableParagraph"/>
              <w:tabs>
                <w:tab w:val="left" w:pos="685"/>
              </w:tabs>
              <w:spacing w:before="161"/>
              <w:ind w:left="118"/>
              <w:rPr>
                <w:sz w:val="18"/>
              </w:rPr>
            </w:pPr>
            <w:r>
              <w:rPr>
                <w:sz w:val="18"/>
              </w:rPr>
              <w:t>2</w:t>
            </w:r>
            <w:r>
              <w:rPr>
                <w:rFonts w:ascii="Symbol" w:hAnsi="Symbol"/>
                <w:sz w:val="18"/>
              </w:rPr>
              <w:t></w:t>
            </w:r>
            <w:r>
              <w:rPr>
                <w:sz w:val="18"/>
              </w:rPr>
              <w:tab/>
              <w:t>dont l'évolution est défavorable, avec une détérioration sévère généralisée de sa situation</w:t>
            </w:r>
            <w:r>
              <w:rPr>
                <w:spacing w:val="-15"/>
                <w:sz w:val="18"/>
              </w:rPr>
              <w:t xml:space="preserve"> </w:t>
            </w:r>
            <w:r>
              <w:rPr>
                <w:sz w:val="18"/>
              </w:rPr>
              <w:t>physique/psychique;</w:t>
            </w:r>
          </w:p>
          <w:p w:rsidR="00717B24" w:rsidRDefault="00717B24">
            <w:pPr>
              <w:pStyle w:val="TableParagraph"/>
              <w:rPr>
                <w:b/>
              </w:rPr>
            </w:pPr>
          </w:p>
          <w:p w:rsidR="00717B24" w:rsidRDefault="005B2C78">
            <w:pPr>
              <w:pStyle w:val="TableParagraph"/>
              <w:tabs>
                <w:tab w:val="left" w:pos="685"/>
              </w:tabs>
              <w:spacing w:before="162"/>
              <w:ind w:left="118"/>
              <w:rPr>
                <w:sz w:val="18"/>
              </w:rPr>
            </w:pPr>
            <w:r>
              <w:rPr>
                <w:sz w:val="18"/>
              </w:rPr>
              <w:t>3</w:t>
            </w:r>
            <w:r>
              <w:rPr>
                <w:rFonts w:ascii="Symbol" w:hAnsi="Symbol"/>
                <w:sz w:val="18"/>
              </w:rPr>
              <w:t></w:t>
            </w:r>
            <w:r>
              <w:rPr>
                <w:sz w:val="18"/>
              </w:rPr>
              <w:tab/>
              <w:t xml:space="preserve">chez qui des interventions thérapeutiques et la thérapie </w:t>
            </w:r>
            <w:proofErr w:type="spellStart"/>
            <w:r>
              <w:rPr>
                <w:sz w:val="18"/>
              </w:rPr>
              <w:t>revalidante</w:t>
            </w:r>
            <w:proofErr w:type="spellEnd"/>
            <w:r>
              <w:rPr>
                <w:sz w:val="18"/>
              </w:rPr>
              <w:t xml:space="preserve"> n'influencent plus cette</w:t>
            </w:r>
            <w:r>
              <w:rPr>
                <w:spacing w:val="-33"/>
                <w:sz w:val="18"/>
              </w:rPr>
              <w:t xml:space="preserve"> </w:t>
            </w:r>
            <w:r>
              <w:rPr>
                <w:sz w:val="18"/>
              </w:rPr>
              <w:t>évolution défavorable;</w:t>
            </w:r>
          </w:p>
          <w:p w:rsidR="00717B24" w:rsidRDefault="00717B24">
            <w:pPr>
              <w:pStyle w:val="TableParagraph"/>
              <w:rPr>
                <w:b/>
              </w:rPr>
            </w:pPr>
          </w:p>
          <w:p w:rsidR="00717B24" w:rsidRDefault="005B2C78">
            <w:pPr>
              <w:pStyle w:val="TableParagraph"/>
              <w:tabs>
                <w:tab w:val="left" w:pos="685"/>
              </w:tabs>
              <w:spacing w:before="161"/>
              <w:ind w:left="118" w:right="553"/>
              <w:rPr>
                <w:sz w:val="18"/>
              </w:rPr>
            </w:pPr>
            <w:r>
              <w:rPr>
                <w:sz w:val="18"/>
              </w:rPr>
              <w:t>4</w:t>
            </w:r>
            <w:r>
              <w:rPr>
                <w:rFonts w:ascii="Symbol" w:hAnsi="Symbol"/>
                <w:sz w:val="18"/>
              </w:rPr>
              <w:t></w:t>
            </w:r>
            <w:r>
              <w:rPr>
                <w:sz w:val="18"/>
              </w:rPr>
              <w:tab/>
              <w:t>pour qui le pronostic de(s) l'affection(s) est mauvais et pour qui le décès est attendu dans un délai assez bref (espérance de vie de plus de 24 heures et de moins de trois mois);</w:t>
            </w:r>
          </w:p>
          <w:p w:rsidR="00717B24" w:rsidRDefault="00717B24">
            <w:pPr>
              <w:pStyle w:val="TableParagraph"/>
              <w:rPr>
                <w:b/>
                <w:sz w:val="20"/>
              </w:rPr>
            </w:pPr>
          </w:p>
          <w:p w:rsidR="00717B24" w:rsidRDefault="00717B24">
            <w:pPr>
              <w:pStyle w:val="TableParagraph"/>
              <w:rPr>
                <w:b/>
                <w:sz w:val="16"/>
              </w:rPr>
            </w:pPr>
          </w:p>
          <w:p w:rsidR="00717B24" w:rsidRDefault="005B2C78">
            <w:pPr>
              <w:pStyle w:val="TableParagraph"/>
              <w:tabs>
                <w:tab w:val="left" w:pos="685"/>
              </w:tabs>
              <w:ind w:left="118" w:right="180"/>
              <w:rPr>
                <w:sz w:val="18"/>
              </w:rPr>
            </w:pPr>
            <w:r>
              <w:rPr>
                <w:sz w:val="18"/>
              </w:rPr>
              <w:t>5</w:t>
            </w:r>
            <w:r>
              <w:rPr>
                <w:rFonts w:ascii="Symbol" w:hAnsi="Symbol"/>
                <w:sz w:val="18"/>
              </w:rPr>
              <w:t></w:t>
            </w:r>
            <w:r>
              <w:rPr>
                <w:sz w:val="18"/>
              </w:rPr>
              <w:tab/>
              <w:t>ayant des besoins physiques, psychiques, sociaux et spirituels importants nécessitant un engagement soutenu et long; le cas échéant, il est fait appel à des intervenants possédant une qualification spécifique et à des moyens</w:t>
            </w:r>
            <w:r>
              <w:rPr>
                <w:spacing w:val="-32"/>
                <w:sz w:val="18"/>
              </w:rPr>
              <w:t xml:space="preserve"> </w:t>
            </w:r>
            <w:r>
              <w:rPr>
                <w:sz w:val="18"/>
              </w:rPr>
              <w:t>techniques appropriés;</w:t>
            </w:r>
          </w:p>
          <w:p w:rsidR="00717B24" w:rsidRDefault="00717B24">
            <w:pPr>
              <w:pStyle w:val="TableParagraph"/>
              <w:rPr>
                <w:b/>
                <w:sz w:val="20"/>
              </w:rPr>
            </w:pPr>
          </w:p>
          <w:p w:rsidR="00717B24" w:rsidRDefault="00717B24">
            <w:pPr>
              <w:pStyle w:val="TableParagraph"/>
              <w:spacing w:before="10"/>
              <w:rPr>
                <w:b/>
                <w:sz w:val="15"/>
              </w:rPr>
            </w:pPr>
          </w:p>
          <w:p w:rsidR="00717B24" w:rsidRDefault="005B2C78">
            <w:pPr>
              <w:pStyle w:val="TableParagraph"/>
              <w:tabs>
                <w:tab w:val="left" w:pos="685"/>
              </w:tabs>
              <w:ind w:left="118"/>
              <w:rPr>
                <w:sz w:val="18"/>
              </w:rPr>
            </w:pPr>
            <w:r>
              <w:rPr>
                <w:sz w:val="18"/>
              </w:rPr>
              <w:t>6</w:t>
            </w:r>
            <w:r>
              <w:rPr>
                <w:rFonts w:ascii="Symbol" w:hAnsi="Symbol"/>
                <w:sz w:val="18"/>
              </w:rPr>
              <w:t></w:t>
            </w:r>
            <w:r>
              <w:rPr>
                <w:sz w:val="18"/>
              </w:rPr>
              <w:tab/>
              <w:t>ayant l'intention de mourir à</w:t>
            </w:r>
            <w:r>
              <w:rPr>
                <w:spacing w:val="-3"/>
                <w:sz w:val="18"/>
              </w:rPr>
              <w:t xml:space="preserve"> </w:t>
            </w:r>
            <w:r>
              <w:rPr>
                <w:sz w:val="18"/>
              </w:rPr>
              <w:t>domicile;</w:t>
            </w:r>
          </w:p>
          <w:p w:rsidR="00717B24" w:rsidRDefault="00717B24">
            <w:pPr>
              <w:pStyle w:val="TableParagraph"/>
              <w:rPr>
                <w:b/>
              </w:rPr>
            </w:pPr>
          </w:p>
          <w:p w:rsidR="00717B24" w:rsidRDefault="005B2C78">
            <w:pPr>
              <w:pStyle w:val="TableParagraph"/>
              <w:tabs>
                <w:tab w:val="left" w:pos="685"/>
              </w:tabs>
              <w:spacing w:before="162"/>
              <w:ind w:left="118"/>
              <w:rPr>
                <w:sz w:val="18"/>
              </w:rPr>
            </w:pPr>
            <w:r>
              <w:rPr>
                <w:sz w:val="18"/>
              </w:rPr>
              <w:t>7</w:t>
            </w:r>
            <w:r>
              <w:rPr>
                <w:rFonts w:ascii="Symbol" w:hAnsi="Symbol"/>
                <w:sz w:val="18"/>
              </w:rPr>
              <w:t></w:t>
            </w:r>
            <w:r>
              <w:rPr>
                <w:sz w:val="18"/>
              </w:rPr>
              <w:tab/>
              <w:t>et qui répond aux conditions reprises dans cette</w:t>
            </w:r>
            <w:r>
              <w:rPr>
                <w:spacing w:val="-3"/>
                <w:sz w:val="18"/>
              </w:rPr>
              <w:t xml:space="preserve"> </w:t>
            </w:r>
            <w:r>
              <w:rPr>
                <w:sz w:val="18"/>
              </w:rPr>
              <w:t>formule.</w:t>
            </w:r>
          </w:p>
          <w:p w:rsidR="00717B24" w:rsidRDefault="00717B24">
            <w:pPr>
              <w:pStyle w:val="TableParagraph"/>
              <w:rPr>
                <w:b/>
              </w:rPr>
            </w:pPr>
          </w:p>
          <w:p w:rsidR="00717B24" w:rsidRDefault="00717B24">
            <w:pPr>
              <w:pStyle w:val="TableParagraph"/>
              <w:rPr>
                <w:b/>
                <w:sz w:val="32"/>
              </w:rPr>
            </w:pPr>
          </w:p>
          <w:p w:rsidR="00717B24" w:rsidRDefault="005B2C78">
            <w:pPr>
              <w:pStyle w:val="TableParagraph"/>
              <w:spacing w:line="144" w:lineRule="exact"/>
              <w:ind w:right="97"/>
              <w:jc w:val="right"/>
              <w:rPr>
                <w:sz w:val="14"/>
              </w:rPr>
            </w:pPr>
            <w:r>
              <w:rPr>
                <w:sz w:val="14"/>
              </w:rPr>
              <w:t>verso</w:t>
            </w:r>
          </w:p>
        </w:tc>
      </w:tr>
    </w:tbl>
    <w:p w:rsidR="005B2C78" w:rsidRDefault="005B2C78"/>
    <w:sectPr w:rsidR="005B2C78">
      <w:pgSz w:w="11910" w:h="16840"/>
      <w:pgMar w:top="14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56" w:rsidRDefault="00342C56" w:rsidP="007F002A">
      <w:r>
        <w:separator/>
      </w:r>
    </w:p>
  </w:endnote>
  <w:endnote w:type="continuationSeparator" w:id="0">
    <w:p w:rsidR="00342C56" w:rsidRDefault="00342C56" w:rsidP="007F0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3" w:rsidRPr="00A90B23" w:rsidRDefault="00A90B23" w:rsidP="00A90B23">
    <w:pPr>
      <w:jc w:val="center"/>
      <w:rPr>
        <w:sz w:val="18"/>
      </w:rPr>
    </w:pPr>
    <w:r>
      <w:rPr>
        <w:sz w:val="18"/>
      </w:rPr>
      <w:t>www.iriscare.brussels</w:t>
    </w:r>
    <w:r>
      <w:rPr>
        <w:b/>
        <w:noProof/>
      </w:rPr>
      <w:drawing>
        <wp:anchor distT="0" distB="0" distL="114300" distR="114300" simplePos="0" relativeHeight="251657728" behindDoc="1" locked="0" layoutInCell="1" allowOverlap="1">
          <wp:simplePos x="0" y="0"/>
          <wp:positionH relativeFrom="column">
            <wp:posOffset>28575</wp:posOffset>
          </wp:positionH>
          <wp:positionV relativeFrom="paragraph">
            <wp:posOffset>916305</wp:posOffset>
          </wp:positionV>
          <wp:extent cx="1017905" cy="92075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905" cy="920750"/>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56" w:rsidRDefault="00342C56" w:rsidP="007F002A">
      <w:r>
        <w:separator/>
      </w:r>
    </w:p>
  </w:footnote>
  <w:footnote w:type="continuationSeparator" w:id="0">
    <w:p w:rsidR="00342C56" w:rsidRDefault="00342C56" w:rsidP="007F0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02A" w:rsidRPr="007F002A" w:rsidRDefault="007F002A" w:rsidP="00A90B23">
    <w:pPr>
      <w:pStyle w:val="En-tte"/>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B23" w:rsidRPr="00A90B23" w:rsidRDefault="00A90B23" w:rsidP="00A90B23">
    <w:pPr>
      <w:pStyle w:val="En-tte"/>
      <w:jc w:val="right"/>
      <w:rPr>
        <w:b/>
      </w:rPr>
    </w:pPr>
    <w:r w:rsidRPr="00A90B23">
      <w:rPr>
        <w:b/>
        <w:noProof/>
      </w:rPr>
      <w:drawing>
        <wp:anchor distT="0" distB="0" distL="114300" distR="114300" simplePos="0" relativeHeight="251658752" behindDoc="1" locked="0" layoutInCell="1" allowOverlap="1">
          <wp:simplePos x="0" y="0"/>
          <wp:positionH relativeFrom="column">
            <wp:posOffset>19050</wp:posOffset>
          </wp:positionH>
          <wp:positionV relativeFrom="paragraph">
            <wp:posOffset>-304800</wp:posOffset>
          </wp:positionV>
          <wp:extent cx="1104900" cy="99943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riscare.png"/>
                  <pic:cNvPicPr/>
                </pic:nvPicPr>
                <pic:blipFill>
                  <a:blip r:embed="rId1">
                    <a:extLst>
                      <a:ext uri="{28A0092B-C50C-407E-A947-70E740481C1C}">
                        <a14:useLocalDpi xmlns:a14="http://schemas.microsoft.com/office/drawing/2010/main" val="0"/>
                      </a:ext>
                    </a:extLst>
                  </a:blip>
                  <a:stretch>
                    <a:fillRect/>
                  </a:stretch>
                </pic:blipFill>
                <pic:spPr>
                  <a:xfrm>
                    <a:off x="0" y="0"/>
                    <a:ext cx="1104900" cy="999432"/>
                  </a:xfrm>
                  <a:prstGeom prst="rect">
                    <a:avLst/>
                  </a:prstGeom>
                </pic:spPr>
              </pic:pic>
            </a:graphicData>
          </a:graphic>
        </wp:anchor>
      </w:drawing>
    </w:r>
    <w:r w:rsidRPr="00A90B23">
      <w:rPr>
        <w:b/>
      </w:rPr>
      <w:t>Annexe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5A5B"/>
    <w:multiLevelType w:val="hybridMultilevel"/>
    <w:tmpl w:val="434ADB76"/>
    <w:lvl w:ilvl="0" w:tplc="B87E2B9C">
      <w:numFmt w:val="bullet"/>
      <w:lvlText w:val="◘"/>
      <w:lvlJc w:val="left"/>
      <w:pPr>
        <w:ind w:left="1252" w:hanging="567"/>
      </w:pPr>
      <w:rPr>
        <w:rFonts w:ascii="Times New Roman" w:eastAsia="Times New Roman" w:hAnsi="Times New Roman" w:cs="Times New Roman" w:hint="default"/>
        <w:spacing w:val="-2"/>
        <w:w w:val="99"/>
        <w:sz w:val="18"/>
        <w:szCs w:val="18"/>
        <w:lang w:val="fr-FR" w:eastAsia="en-US" w:bidi="ar-SA"/>
      </w:rPr>
    </w:lvl>
    <w:lvl w:ilvl="1" w:tplc="4454BFEC">
      <w:numFmt w:val="bullet"/>
      <w:lvlText w:val="◘"/>
      <w:lvlJc w:val="left"/>
      <w:pPr>
        <w:ind w:left="2408" w:hanging="568"/>
      </w:pPr>
      <w:rPr>
        <w:rFonts w:ascii="Times New Roman" w:eastAsia="Times New Roman" w:hAnsi="Times New Roman" w:cs="Times New Roman" w:hint="default"/>
        <w:spacing w:val="-2"/>
        <w:w w:val="100"/>
        <w:sz w:val="18"/>
        <w:szCs w:val="18"/>
        <w:lang w:val="fr-FR" w:eastAsia="en-US" w:bidi="ar-SA"/>
      </w:rPr>
    </w:lvl>
    <w:lvl w:ilvl="2" w:tplc="3304918C">
      <w:numFmt w:val="bullet"/>
      <w:lvlText w:val=""/>
      <w:lvlJc w:val="left"/>
      <w:pPr>
        <w:ind w:left="2954" w:hanging="568"/>
      </w:pPr>
      <w:rPr>
        <w:rFonts w:ascii="Wingdings" w:eastAsia="Wingdings" w:hAnsi="Wingdings" w:cs="Wingdings" w:hint="default"/>
        <w:w w:val="100"/>
        <w:sz w:val="18"/>
        <w:szCs w:val="18"/>
        <w:lang w:val="fr-FR" w:eastAsia="en-US" w:bidi="ar-SA"/>
      </w:rPr>
    </w:lvl>
    <w:lvl w:ilvl="3" w:tplc="1CC86ACA">
      <w:numFmt w:val="bullet"/>
      <w:lvlText w:val="•"/>
      <w:lvlJc w:val="left"/>
      <w:pPr>
        <w:ind w:left="3715" w:hanging="568"/>
      </w:pPr>
      <w:rPr>
        <w:rFonts w:hint="default"/>
        <w:lang w:val="fr-FR" w:eastAsia="en-US" w:bidi="ar-SA"/>
      </w:rPr>
    </w:lvl>
    <w:lvl w:ilvl="4" w:tplc="559EF56C">
      <w:numFmt w:val="bullet"/>
      <w:lvlText w:val="•"/>
      <w:lvlJc w:val="left"/>
      <w:pPr>
        <w:ind w:left="4471" w:hanging="568"/>
      </w:pPr>
      <w:rPr>
        <w:rFonts w:hint="default"/>
        <w:lang w:val="fr-FR" w:eastAsia="en-US" w:bidi="ar-SA"/>
      </w:rPr>
    </w:lvl>
    <w:lvl w:ilvl="5" w:tplc="FAB47BAA">
      <w:numFmt w:val="bullet"/>
      <w:lvlText w:val="•"/>
      <w:lvlJc w:val="left"/>
      <w:pPr>
        <w:ind w:left="5227" w:hanging="568"/>
      </w:pPr>
      <w:rPr>
        <w:rFonts w:hint="default"/>
        <w:lang w:val="fr-FR" w:eastAsia="en-US" w:bidi="ar-SA"/>
      </w:rPr>
    </w:lvl>
    <w:lvl w:ilvl="6" w:tplc="8DE2BBB6">
      <w:numFmt w:val="bullet"/>
      <w:lvlText w:val="•"/>
      <w:lvlJc w:val="left"/>
      <w:pPr>
        <w:ind w:left="5983" w:hanging="568"/>
      </w:pPr>
      <w:rPr>
        <w:rFonts w:hint="default"/>
        <w:lang w:val="fr-FR" w:eastAsia="en-US" w:bidi="ar-SA"/>
      </w:rPr>
    </w:lvl>
    <w:lvl w:ilvl="7" w:tplc="AD46DCEE">
      <w:numFmt w:val="bullet"/>
      <w:lvlText w:val="•"/>
      <w:lvlJc w:val="left"/>
      <w:pPr>
        <w:ind w:left="6738" w:hanging="568"/>
      </w:pPr>
      <w:rPr>
        <w:rFonts w:hint="default"/>
        <w:lang w:val="fr-FR" w:eastAsia="en-US" w:bidi="ar-SA"/>
      </w:rPr>
    </w:lvl>
    <w:lvl w:ilvl="8" w:tplc="53DEFFD0">
      <w:numFmt w:val="bullet"/>
      <w:lvlText w:val="•"/>
      <w:lvlJc w:val="left"/>
      <w:pPr>
        <w:ind w:left="7494" w:hanging="568"/>
      </w:pPr>
      <w:rPr>
        <w:rFonts w:hint="default"/>
        <w:lang w:val="fr-FR" w:eastAsia="en-US" w:bidi="ar-SA"/>
      </w:rPr>
    </w:lvl>
  </w:abstractNum>
  <w:abstractNum w:abstractNumId="1" w15:restartNumberingAfterBreak="0">
    <w:nsid w:val="420E57D7"/>
    <w:multiLevelType w:val="hybridMultilevel"/>
    <w:tmpl w:val="4120CE36"/>
    <w:lvl w:ilvl="0" w:tplc="6AC223F8">
      <w:start w:val="1"/>
      <w:numFmt w:val="decimal"/>
      <w:lvlText w:val="(%1)"/>
      <w:lvlJc w:val="left"/>
      <w:pPr>
        <w:ind w:left="374" w:hanging="256"/>
        <w:jc w:val="left"/>
      </w:pPr>
      <w:rPr>
        <w:rFonts w:ascii="Times New Roman" w:eastAsia="Times New Roman" w:hAnsi="Times New Roman" w:cs="Times New Roman" w:hint="default"/>
        <w:spacing w:val="-2"/>
        <w:w w:val="99"/>
        <w:sz w:val="18"/>
        <w:szCs w:val="18"/>
        <w:lang w:val="fr-FR" w:eastAsia="en-US" w:bidi="ar-SA"/>
      </w:rPr>
    </w:lvl>
    <w:lvl w:ilvl="1" w:tplc="3DAC44F4">
      <w:numFmt w:val="bullet"/>
      <w:lvlText w:val="•"/>
      <w:lvlJc w:val="left"/>
      <w:pPr>
        <w:ind w:left="1242" w:hanging="256"/>
      </w:pPr>
      <w:rPr>
        <w:rFonts w:hint="default"/>
        <w:lang w:val="fr-FR" w:eastAsia="en-US" w:bidi="ar-SA"/>
      </w:rPr>
    </w:lvl>
    <w:lvl w:ilvl="2" w:tplc="A1803780">
      <w:numFmt w:val="bullet"/>
      <w:lvlText w:val="•"/>
      <w:lvlJc w:val="left"/>
      <w:pPr>
        <w:ind w:left="2105" w:hanging="256"/>
      </w:pPr>
      <w:rPr>
        <w:rFonts w:hint="default"/>
        <w:lang w:val="fr-FR" w:eastAsia="en-US" w:bidi="ar-SA"/>
      </w:rPr>
    </w:lvl>
    <w:lvl w:ilvl="3" w:tplc="A4164FEA">
      <w:numFmt w:val="bullet"/>
      <w:lvlText w:val="•"/>
      <w:lvlJc w:val="left"/>
      <w:pPr>
        <w:ind w:left="2967" w:hanging="256"/>
      </w:pPr>
      <w:rPr>
        <w:rFonts w:hint="default"/>
        <w:lang w:val="fr-FR" w:eastAsia="en-US" w:bidi="ar-SA"/>
      </w:rPr>
    </w:lvl>
    <w:lvl w:ilvl="4" w:tplc="3C40D576">
      <w:numFmt w:val="bullet"/>
      <w:lvlText w:val="•"/>
      <w:lvlJc w:val="left"/>
      <w:pPr>
        <w:ind w:left="3830" w:hanging="256"/>
      </w:pPr>
      <w:rPr>
        <w:rFonts w:hint="default"/>
        <w:lang w:val="fr-FR" w:eastAsia="en-US" w:bidi="ar-SA"/>
      </w:rPr>
    </w:lvl>
    <w:lvl w:ilvl="5" w:tplc="AE3E0036">
      <w:numFmt w:val="bullet"/>
      <w:lvlText w:val="•"/>
      <w:lvlJc w:val="left"/>
      <w:pPr>
        <w:ind w:left="4693" w:hanging="256"/>
      </w:pPr>
      <w:rPr>
        <w:rFonts w:hint="default"/>
        <w:lang w:val="fr-FR" w:eastAsia="en-US" w:bidi="ar-SA"/>
      </w:rPr>
    </w:lvl>
    <w:lvl w:ilvl="6" w:tplc="5ED23A48">
      <w:numFmt w:val="bullet"/>
      <w:lvlText w:val="•"/>
      <w:lvlJc w:val="left"/>
      <w:pPr>
        <w:ind w:left="5555" w:hanging="256"/>
      </w:pPr>
      <w:rPr>
        <w:rFonts w:hint="default"/>
        <w:lang w:val="fr-FR" w:eastAsia="en-US" w:bidi="ar-SA"/>
      </w:rPr>
    </w:lvl>
    <w:lvl w:ilvl="7" w:tplc="5E5C4DE4">
      <w:numFmt w:val="bullet"/>
      <w:lvlText w:val="•"/>
      <w:lvlJc w:val="left"/>
      <w:pPr>
        <w:ind w:left="6418" w:hanging="256"/>
      </w:pPr>
      <w:rPr>
        <w:rFonts w:hint="default"/>
        <w:lang w:val="fr-FR" w:eastAsia="en-US" w:bidi="ar-SA"/>
      </w:rPr>
    </w:lvl>
    <w:lvl w:ilvl="8" w:tplc="79542FFC">
      <w:numFmt w:val="bullet"/>
      <w:lvlText w:val="•"/>
      <w:lvlJc w:val="left"/>
      <w:pPr>
        <w:ind w:left="7280" w:hanging="256"/>
      </w:pPr>
      <w:rPr>
        <w:rFonts w:hint="default"/>
        <w:lang w:val="fr-F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17B24"/>
    <w:rsid w:val="001A0184"/>
    <w:rsid w:val="00342C56"/>
    <w:rsid w:val="00466AAC"/>
    <w:rsid w:val="005B2C78"/>
    <w:rsid w:val="00717B24"/>
    <w:rsid w:val="007F002A"/>
    <w:rsid w:val="00A90B23"/>
    <w:rsid w:val="00E06C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49148"/>
  <w15:docId w15:val="{07D0ECA2-5500-464A-9DB7-A2A31F69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8"/>
    </w:pPr>
    <w:rPr>
      <w:b/>
      <w:bCs/>
      <w:sz w:val="23"/>
      <w:szCs w:val="23"/>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F002A"/>
    <w:pPr>
      <w:tabs>
        <w:tab w:val="center" w:pos="4536"/>
        <w:tab w:val="right" w:pos="9072"/>
      </w:tabs>
    </w:pPr>
  </w:style>
  <w:style w:type="character" w:customStyle="1" w:styleId="En-tteCar">
    <w:name w:val="En-tête Car"/>
    <w:basedOn w:val="Policepardfaut"/>
    <w:link w:val="En-tte"/>
    <w:uiPriority w:val="99"/>
    <w:rsid w:val="007F002A"/>
    <w:rPr>
      <w:rFonts w:ascii="Times New Roman" w:eastAsia="Times New Roman" w:hAnsi="Times New Roman" w:cs="Times New Roman"/>
      <w:lang w:val="fr-FR"/>
    </w:rPr>
  </w:style>
  <w:style w:type="paragraph" w:styleId="Pieddepage">
    <w:name w:val="footer"/>
    <w:basedOn w:val="Normal"/>
    <w:link w:val="PieddepageCar"/>
    <w:uiPriority w:val="99"/>
    <w:unhideWhenUsed/>
    <w:rsid w:val="007F002A"/>
    <w:pPr>
      <w:tabs>
        <w:tab w:val="center" w:pos="4536"/>
        <w:tab w:val="right" w:pos="9072"/>
      </w:tabs>
    </w:pPr>
  </w:style>
  <w:style w:type="character" w:customStyle="1" w:styleId="PieddepageCar">
    <w:name w:val="Pied de page Car"/>
    <w:basedOn w:val="Policepardfaut"/>
    <w:link w:val="Pieddepage"/>
    <w:uiPriority w:val="99"/>
    <w:rsid w:val="007F002A"/>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Les soins palliatifs dans le cadre de l'assurance soins de santé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soins palliatifs dans le cadre de l'assurance soins de santé </dc:title>
  <dc:subject>Formulaire « Avis médical ».STOP</dc:subject>
  <cp:lastModifiedBy>Stephanie Lange (Famifed)</cp:lastModifiedBy>
  <cp:revision>4</cp:revision>
  <dcterms:created xsi:type="dcterms:W3CDTF">2020-02-06T09:20:00Z</dcterms:created>
  <dcterms:modified xsi:type="dcterms:W3CDTF">2020-02-06T11:10:00Z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2007-09-18T00:00:00Z</vt:filetime>
  </property>
  <property fmtid="{D5CDD505-2E9C-101B-9397-08002B2CF9AE}" pid="3" name="LastSaved">
    <vt:filetime>2020-02-06T00:00:00Z</vt:filetime>
  </property>
</Properties>
</file>